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7EAC" w:rsidRDefault="00CD7EAC"/>
    <w:p w:rsidR="00CD7EAC" w:rsidRPr="00AB5D5D" w:rsidRDefault="000622AA" w:rsidP="00AB5D5D">
      <w:pPr>
        <w:jc w:val="center"/>
        <w:rPr>
          <w:sz w:val="14"/>
        </w:rPr>
      </w:pPr>
      <w:r w:rsidRPr="00AB5D5D">
        <w:rPr>
          <w:b/>
          <w:color w:val="1F4E79"/>
          <w:sz w:val="28"/>
        </w:rPr>
        <w:t>ANÁLISIS ESPACIAL DE NOTIFICACIONES DE RUIDO</w:t>
      </w:r>
      <w:r w:rsidRPr="00AB5D5D">
        <w:rPr>
          <w:b/>
          <w:color w:val="1F4E79"/>
          <w:sz w:val="28"/>
        </w:rPr>
        <w:br/>
        <w:t>POR RUMBA EN ZONAS FOCALIZADAS</w:t>
      </w:r>
    </w:p>
    <w:p w:rsidR="00CD7EAC" w:rsidRDefault="000622AA">
      <w:proofErr w:type="spellStart"/>
      <w:r>
        <w:rPr>
          <w:color w:val="444444"/>
        </w:rPr>
        <w:t>Período</w:t>
      </w:r>
      <w:proofErr w:type="spellEnd"/>
      <w:r>
        <w:rPr>
          <w:color w:val="444444"/>
        </w:rPr>
        <w:t xml:space="preserve">: </w:t>
      </w:r>
      <w:proofErr w:type="spellStart"/>
      <w:r>
        <w:rPr>
          <w:color w:val="444444"/>
        </w:rPr>
        <w:t>Enero</w:t>
      </w:r>
      <w:proofErr w:type="spellEnd"/>
      <w:r>
        <w:rPr>
          <w:color w:val="444444"/>
        </w:rPr>
        <w:t xml:space="preserve"> – </w:t>
      </w:r>
      <w:proofErr w:type="gramStart"/>
      <w:r>
        <w:rPr>
          <w:color w:val="444444"/>
        </w:rPr>
        <w:t>Mayo  |</w:t>
      </w:r>
      <w:proofErr w:type="gramEnd"/>
      <w:r>
        <w:rPr>
          <w:color w:val="444444"/>
        </w:rPr>
        <w:t xml:space="preserve">  Años: 2022 – 2026  |  Año de referencia: 2026</w:t>
      </w:r>
    </w:p>
    <w:p w:rsidR="00CD7EAC" w:rsidRDefault="00CD7EAC"/>
    <w:p w:rsidR="00CD7EAC" w:rsidRDefault="000622AA">
      <w:r>
        <w:rPr>
          <w:b/>
          <w:sz w:val="20"/>
        </w:rPr>
        <w:t xml:space="preserve">Metodología: </w:t>
      </w:r>
      <w:r>
        <w:rPr>
          <w:sz w:val="20"/>
        </w:rPr>
        <w:t>Kernel Density Estimation (KDE) | QGIS 3.x | Python</w:t>
      </w:r>
      <w:r>
        <w:br/>
      </w:r>
      <w:r>
        <w:rPr>
          <w:b/>
          <w:sz w:val="20"/>
        </w:rPr>
        <w:t xml:space="preserve">Fuente espacial: </w:t>
      </w:r>
      <w:r>
        <w:rPr>
          <w:sz w:val="20"/>
        </w:rPr>
        <w:t>SHAPE_ZONA_RUMBA_DEFINITIVO — Bogotá</w:t>
      </w:r>
      <w:r>
        <w:br/>
      </w:r>
      <w:r>
        <w:rPr>
          <w:b/>
          <w:sz w:val="20"/>
        </w:rPr>
        <w:t xml:space="preserve">Fecha de elaboración: </w:t>
      </w:r>
      <w:r>
        <w:rPr>
          <w:sz w:val="20"/>
        </w:rPr>
        <w:t>Junio de 2026</w:t>
      </w:r>
      <w:r>
        <w:br/>
      </w:r>
      <w:bookmarkStart w:id="0" w:name="_GoBack"/>
      <w:bookmarkEnd w:id="0"/>
    </w:p>
    <w:p w:rsidR="00CD7EAC" w:rsidRDefault="000622AA">
      <w:pPr>
        <w:pStyle w:val="Ttulo1"/>
      </w:pPr>
      <w:r>
        <w:t>1. Resumen Ejecutivo</w:t>
      </w:r>
    </w:p>
    <w:p w:rsidR="00CD7EAC" w:rsidRDefault="00CD7EAC"/>
    <w:p w:rsidR="00CD7EAC" w:rsidRDefault="000622AA">
      <w:r>
        <w:t>El presente i</w:t>
      </w:r>
      <w:r>
        <w:t>nforme analiza el comportamiento espacial y temporal de las notificaciones de ruido por rumba —expendio y consumo de bebidas alcohólicas con horario extendido— registradas en Bogotá D.C. durante el período enero–mayo de los años 2022 a 2026, con énfasis en</w:t>
      </w:r>
      <w:r>
        <w:t xml:space="preserve"> las 27 zonas focalizadas oficialmente delimitadas en el Shape ZONA_RUMBA_DEFINITIVO y sus áreas de influencia de 250 m, 300 m y 500 m.</w:t>
      </w:r>
    </w:p>
    <w:p w:rsidR="00CD7EAC" w:rsidRDefault="000622AA">
      <w:r>
        <w:t>El año 2026 constituye el año de referencia del análisis, puesto que corresponde al período de vigencia formal de dichas</w:t>
      </w:r>
      <w:r>
        <w:t xml:space="preserve"> zonas focalizadas. Se calcularon cinco superficies de Estimación de Densidad Kernel (KDE) individuales —una por año— con parámetros idénticos (bandwidth 500 m, celda 50 m, función Cuártica, EPSG:4326), y cuatro rásteres KDE diferenciales que comparan KDE_</w:t>
      </w:r>
      <w:r>
        <w:t>2026 contra cada año base, permitiendo identificar territorialmente dónde el aumento de densidad de notificaciones en 2026 es completamente nuevo respecto a referencias históricas.</w:t>
      </w:r>
    </w:p>
    <w:tbl>
      <w:tblPr>
        <w:tblW w:w="0" w:type="auto"/>
        <w:jc w:val="center"/>
        <w:tblLook w:val="04A0" w:firstRow="1" w:lastRow="0" w:firstColumn="1" w:lastColumn="0" w:noHBand="0" w:noVBand="1"/>
      </w:tblPr>
      <w:tblGrid>
        <w:gridCol w:w="9406"/>
      </w:tblGrid>
      <w:tr w:rsidR="00CD7EAC">
        <w:trPr>
          <w:jc w:val="center"/>
        </w:trPr>
        <w:tc>
          <w:tcPr>
            <w:tcW w:w="9406"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r>
              <w:rPr>
                <w:b/>
              </w:rPr>
              <w:t>Hallazgos principales</w:t>
            </w:r>
          </w:p>
          <w:p w:rsidR="00CD7EAC" w:rsidRDefault="000622AA">
            <w:pPr>
              <w:pStyle w:val="Listaconvietas"/>
            </w:pPr>
            <w:r>
              <w:rPr>
                <w:sz w:val="21"/>
              </w:rPr>
              <w:t>Las notificaciones dentro del área de influencia de 5</w:t>
            </w:r>
            <w:r>
              <w:rPr>
                <w:sz w:val="21"/>
              </w:rPr>
              <w:t>00 m crecieron 12,3x: de 3 (2022) a 37 (2026).</w:t>
            </w:r>
          </w:p>
          <w:p w:rsidR="00CD7EAC" w:rsidRDefault="000622AA">
            <w:pPr>
              <w:pStyle w:val="Listaconvietas"/>
            </w:pPr>
            <w:r>
              <w:rPr>
                <w:sz w:val="21"/>
              </w:rPr>
              <w:t>Las notificaciones directamente dentro de la zona de rumba pasaron de 1 (2022) a 11 (2026), un incremento de 1.000%.</w:t>
            </w:r>
          </w:p>
          <w:p w:rsidR="00CD7EAC" w:rsidRDefault="000622AA">
            <w:pPr>
              <w:pStyle w:val="Listaconvietas"/>
            </w:pPr>
            <w:r>
              <w:rPr>
                <w:sz w:val="21"/>
              </w:rPr>
              <w:t>El año 2026 registró la densidad KDE máxima: 4,57 (vs. 0,99 en 2022), evidenciando mayor con</w:t>
            </w:r>
            <w:r>
              <w:rPr>
                <w:sz w:val="21"/>
              </w:rPr>
              <w:t>centración espacial.</w:t>
            </w:r>
          </w:p>
          <w:p w:rsidR="00CD7EAC" w:rsidRDefault="000622AA">
            <w:pPr>
              <w:pStyle w:val="Listaconvietas"/>
            </w:pPr>
            <w:r>
              <w:rPr>
                <w:sz w:val="21"/>
              </w:rPr>
              <w:t>Los KDE diferenciales muestran que en 2026 aparecen entre 1.919 y 3.852 píxeles (~5,9 a 11,9 km²) con densidad completamente nueva respecto a cada año base.</w:t>
            </w:r>
          </w:p>
          <w:p w:rsidR="00CD7EAC" w:rsidRDefault="000622AA">
            <w:pPr>
              <w:pStyle w:val="Listaconvietas"/>
            </w:pPr>
            <w:r>
              <w:rPr>
                <w:sz w:val="21"/>
              </w:rPr>
              <w:t>Las zonas con horario extendido (SI) registran 4 notificaciones en 2026; las z</w:t>
            </w:r>
            <w:r>
              <w:rPr>
                <w:sz w:val="21"/>
              </w:rPr>
              <w:t>onas sin extensión horaria, 7 notificaciones.</w:t>
            </w:r>
          </w:p>
          <w:p w:rsidR="00CD7EAC" w:rsidRDefault="000622AA">
            <w:pPr>
              <w:pStyle w:val="Listaconvietas"/>
            </w:pPr>
            <w:r>
              <w:rPr>
                <w:sz w:val="21"/>
              </w:rPr>
              <w:t>Las zonas con mayor concentración en 2026: Galerías, Chapinero, 1 de Mayo, Marichuela y Normandía.</w:t>
            </w:r>
          </w:p>
        </w:tc>
      </w:tr>
    </w:tbl>
    <w:p w:rsidR="00CD7EAC" w:rsidRDefault="00CD7EAC"/>
    <w:p w:rsidR="00CD7EAC" w:rsidRDefault="000622AA">
      <w:pPr>
        <w:pStyle w:val="Ttulo1"/>
      </w:pPr>
      <w:r>
        <w:t>2. Contexto y Marco Normativo</w:t>
      </w:r>
    </w:p>
    <w:p w:rsidR="00CD7EAC" w:rsidRDefault="00CD7EAC"/>
    <w:p w:rsidR="00CD7EAC" w:rsidRDefault="000622AA">
      <w:r>
        <w:t>La Secretaría Distrital de Salud de Bogotá, en el marco de sus competencias de</w:t>
      </w:r>
      <w:r>
        <w:t xml:space="preserve"> vigilancia en salud pública, realiza el seguimiento a las notificaciones de ruido asociadas al funcionamiento de establecimientos de expendio y consumo de bebidas alcohólicas en zonas de alta concentración nocturna, denominadas zonas de rumba.</w:t>
      </w:r>
    </w:p>
    <w:p w:rsidR="00CD7EAC" w:rsidRDefault="000622AA">
      <w:r>
        <w:t>A partir de</w:t>
      </w:r>
      <w:r>
        <w:t>l año 2026 entraron en vigencia formal las 27 zonas focalizadas delimitadas en la capa geográfica SHAPE_ZONA_RUMBA_DEFINITIVO. De estas, 19 cuentan con autorización de horario extendido (campo Extendida = 'SI') y 8 operan en horario estándar (campo Extendi</w:t>
      </w:r>
      <w:r>
        <w:t>da = 'NO'). El análisis de las notificaciones dentro de estas zonas y sus áreas de influencia permite evaluar el impacto de esta regulación sobre la distribución espacial de las quejas ciudadanas.</w:t>
      </w:r>
    </w:p>
    <w:p w:rsidR="00CD7EAC" w:rsidRDefault="000622AA">
      <w:pPr>
        <w:pStyle w:val="Ttulo2"/>
      </w:pPr>
      <w:r>
        <w:t>2.1 Zonas focalizadas de rumba</w:t>
      </w:r>
    </w:p>
    <w:p w:rsidR="00CD7EAC" w:rsidRDefault="00CD7EAC"/>
    <w:tbl>
      <w:tblPr>
        <w:tblW w:w="0" w:type="auto"/>
        <w:jc w:val="center"/>
        <w:tblLook w:val="04A0" w:firstRow="1" w:lastRow="0" w:firstColumn="1" w:lastColumn="0" w:noHBand="0" w:noVBand="1"/>
      </w:tblPr>
      <w:tblGrid>
        <w:gridCol w:w="3500"/>
        <w:gridCol w:w="3500"/>
        <w:gridCol w:w="2360"/>
      </w:tblGrid>
      <w:tr w:rsidR="00CD7EAC">
        <w:trPr>
          <w:jc w:val="center"/>
        </w:trPr>
        <w:tc>
          <w:tcPr>
            <w:tcW w:w="3500"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Nombre de la Zona</w:t>
            </w:r>
          </w:p>
        </w:tc>
        <w:tc>
          <w:tcPr>
            <w:tcW w:w="3500"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Localidad</w:t>
            </w:r>
          </w:p>
        </w:tc>
        <w:tc>
          <w:tcPr>
            <w:tcW w:w="2360"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Horario Extendido</w:t>
            </w:r>
          </w:p>
        </w:tc>
      </w:tr>
      <w:tr w:rsidR="00CD7EAC">
        <w:trPr>
          <w:jc w:val="center"/>
        </w:trPr>
        <w:tc>
          <w:tcPr>
            <w:tcW w:w="350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ALAMOS</w:t>
            </w:r>
          </w:p>
        </w:tc>
        <w:tc>
          <w:tcPr>
            <w:tcW w:w="350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ENGATIVA</w:t>
            </w:r>
          </w:p>
        </w:tc>
        <w:tc>
          <w:tcPr>
            <w:tcW w:w="236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b/>
                <w:color w:val="27AE60"/>
                <w:sz w:val="20"/>
              </w:rPr>
              <w:t>SI</w:t>
            </w:r>
          </w:p>
        </w:tc>
      </w:tr>
      <w:tr w:rsidR="00CD7EAC">
        <w:trPr>
          <w:jc w:val="center"/>
        </w:trPr>
        <w:tc>
          <w:tcPr>
            <w:tcW w:w="350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BOSA CENTRO</w:t>
            </w:r>
          </w:p>
        </w:tc>
        <w:tc>
          <w:tcPr>
            <w:tcW w:w="350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BOSA</w:t>
            </w:r>
          </w:p>
        </w:tc>
        <w:tc>
          <w:tcPr>
            <w:tcW w:w="236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b/>
                <w:color w:val="27AE60"/>
                <w:sz w:val="20"/>
              </w:rPr>
              <w:t>SI</w:t>
            </w:r>
          </w:p>
        </w:tc>
      </w:tr>
      <w:tr w:rsidR="00CD7EAC">
        <w:trPr>
          <w:jc w:val="center"/>
        </w:trPr>
        <w:tc>
          <w:tcPr>
            <w:tcW w:w="350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BOYACA SANTA MARIA</w:t>
            </w:r>
          </w:p>
        </w:tc>
        <w:tc>
          <w:tcPr>
            <w:tcW w:w="350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ENGATIVA</w:t>
            </w:r>
          </w:p>
        </w:tc>
        <w:tc>
          <w:tcPr>
            <w:tcW w:w="236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b/>
                <w:color w:val="27AE60"/>
                <w:sz w:val="20"/>
              </w:rPr>
              <w:t>SI</w:t>
            </w:r>
          </w:p>
        </w:tc>
      </w:tr>
      <w:tr w:rsidR="00CD7EAC">
        <w:trPr>
          <w:jc w:val="center"/>
        </w:trPr>
        <w:tc>
          <w:tcPr>
            <w:tcW w:w="350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CALLE 172A</w:t>
            </w:r>
          </w:p>
        </w:tc>
        <w:tc>
          <w:tcPr>
            <w:tcW w:w="350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USAQUEN</w:t>
            </w:r>
          </w:p>
        </w:tc>
        <w:tc>
          <w:tcPr>
            <w:tcW w:w="236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b/>
                <w:color w:val="27AE60"/>
                <w:sz w:val="20"/>
              </w:rPr>
              <w:t>SI</w:t>
            </w:r>
          </w:p>
        </w:tc>
      </w:tr>
      <w:tr w:rsidR="00CD7EAC">
        <w:trPr>
          <w:jc w:val="center"/>
        </w:trPr>
        <w:tc>
          <w:tcPr>
            <w:tcW w:w="350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CALLE 8 SUR</w:t>
            </w:r>
          </w:p>
        </w:tc>
        <w:tc>
          <w:tcPr>
            <w:tcW w:w="350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PUENTE ARANDA</w:t>
            </w:r>
          </w:p>
        </w:tc>
        <w:tc>
          <w:tcPr>
            <w:tcW w:w="236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b/>
                <w:color w:val="27AE60"/>
                <w:sz w:val="20"/>
              </w:rPr>
              <w:t>SI</w:t>
            </w:r>
          </w:p>
        </w:tc>
      </w:tr>
      <w:tr w:rsidR="00CD7EAC">
        <w:trPr>
          <w:jc w:val="center"/>
        </w:trPr>
        <w:tc>
          <w:tcPr>
            <w:tcW w:w="350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CENTRO FONTIBON</w:t>
            </w:r>
          </w:p>
        </w:tc>
        <w:tc>
          <w:tcPr>
            <w:tcW w:w="350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FONTIBON</w:t>
            </w:r>
          </w:p>
        </w:tc>
        <w:tc>
          <w:tcPr>
            <w:tcW w:w="236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b/>
                <w:color w:val="27AE60"/>
                <w:sz w:val="20"/>
              </w:rPr>
              <w:t>SI</w:t>
            </w:r>
          </w:p>
        </w:tc>
      </w:tr>
      <w:tr w:rsidR="00CD7EAC">
        <w:trPr>
          <w:jc w:val="center"/>
        </w:trPr>
        <w:tc>
          <w:tcPr>
            <w:tcW w:w="350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CHAPINERO</w:t>
            </w:r>
          </w:p>
        </w:tc>
        <w:tc>
          <w:tcPr>
            <w:tcW w:w="350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CHAPINERO</w:t>
            </w:r>
          </w:p>
        </w:tc>
        <w:tc>
          <w:tcPr>
            <w:tcW w:w="236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b/>
                <w:color w:val="27AE60"/>
                <w:sz w:val="20"/>
              </w:rPr>
              <w:t>SI</w:t>
            </w:r>
          </w:p>
        </w:tc>
      </w:tr>
      <w:tr w:rsidR="00CD7EAC">
        <w:trPr>
          <w:jc w:val="center"/>
        </w:trPr>
        <w:tc>
          <w:tcPr>
            <w:tcW w:w="350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CUADRA PICHA</w:t>
            </w:r>
          </w:p>
        </w:tc>
        <w:tc>
          <w:tcPr>
            <w:tcW w:w="350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KENNEDY</w:t>
            </w:r>
          </w:p>
        </w:tc>
        <w:tc>
          <w:tcPr>
            <w:tcW w:w="236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b/>
                <w:color w:val="27AE60"/>
                <w:sz w:val="20"/>
              </w:rPr>
              <w:t>SI</w:t>
            </w:r>
          </w:p>
        </w:tc>
      </w:tr>
      <w:tr w:rsidR="00CD7EAC">
        <w:trPr>
          <w:jc w:val="center"/>
        </w:trPr>
        <w:tc>
          <w:tcPr>
            <w:tcW w:w="350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FERIAS</w:t>
            </w:r>
          </w:p>
        </w:tc>
        <w:tc>
          <w:tcPr>
            <w:tcW w:w="350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ENGATIVA</w:t>
            </w:r>
          </w:p>
        </w:tc>
        <w:tc>
          <w:tcPr>
            <w:tcW w:w="236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b/>
                <w:color w:val="27AE60"/>
                <w:sz w:val="20"/>
              </w:rPr>
              <w:t>SI</w:t>
            </w:r>
          </w:p>
        </w:tc>
      </w:tr>
      <w:tr w:rsidR="00CD7EAC">
        <w:trPr>
          <w:jc w:val="center"/>
        </w:trPr>
        <w:tc>
          <w:tcPr>
            <w:tcW w:w="350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GALAN</w:t>
            </w:r>
          </w:p>
        </w:tc>
        <w:tc>
          <w:tcPr>
            <w:tcW w:w="350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PUENTE</w:t>
            </w:r>
            <w:r>
              <w:rPr>
                <w:sz w:val="20"/>
              </w:rPr>
              <w:t xml:space="preserve"> ARANDA</w:t>
            </w:r>
          </w:p>
        </w:tc>
        <w:tc>
          <w:tcPr>
            <w:tcW w:w="236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b/>
                <w:color w:val="27AE60"/>
                <w:sz w:val="20"/>
              </w:rPr>
              <w:t>SI</w:t>
            </w:r>
          </w:p>
        </w:tc>
      </w:tr>
      <w:tr w:rsidR="00CD7EAC">
        <w:trPr>
          <w:jc w:val="center"/>
        </w:trPr>
        <w:tc>
          <w:tcPr>
            <w:tcW w:w="350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LA FAVORITA</w:t>
            </w:r>
          </w:p>
        </w:tc>
        <w:tc>
          <w:tcPr>
            <w:tcW w:w="350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LOS MARTIRES</w:t>
            </w:r>
          </w:p>
        </w:tc>
        <w:tc>
          <w:tcPr>
            <w:tcW w:w="236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b/>
                <w:color w:val="27AE60"/>
                <w:sz w:val="20"/>
              </w:rPr>
              <w:t>SI</w:t>
            </w:r>
          </w:p>
        </w:tc>
      </w:tr>
      <w:tr w:rsidR="00CD7EAC">
        <w:trPr>
          <w:jc w:val="center"/>
        </w:trPr>
        <w:tc>
          <w:tcPr>
            <w:tcW w:w="350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LAS FERIAS ZONA I</w:t>
            </w:r>
          </w:p>
        </w:tc>
        <w:tc>
          <w:tcPr>
            <w:tcW w:w="350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ENGATIVA</w:t>
            </w:r>
          </w:p>
        </w:tc>
        <w:tc>
          <w:tcPr>
            <w:tcW w:w="236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b/>
                <w:color w:val="27AE60"/>
                <w:sz w:val="20"/>
              </w:rPr>
              <w:t>SI</w:t>
            </w:r>
          </w:p>
        </w:tc>
      </w:tr>
      <w:tr w:rsidR="00CD7EAC">
        <w:trPr>
          <w:jc w:val="center"/>
        </w:trPr>
        <w:tc>
          <w:tcPr>
            <w:tcW w:w="350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LOMBARDIA</w:t>
            </w:r>
          </w:p>
        </w:tc>
        <w:tc>
          <w:tcPr>
            <w:tcW w:w="350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SUBA</w:t>
            </w:r>
          </w:p>
        </w:tc>
        <w:tc>
          <w:tcPr>
            <w:tcW w:w="236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b/>
                <w:color w:val="27AE60"/>
                <w:sz w:val="20"/>
              </w:rPr>
              <w:t>SI</w:t>
            </w:r>
          </w:p>
        </w:tc>
      </w:tr>
      <w:tr w:rsidR="00CD7EAC">
        <w:trPr>
          <w:jc w:val="center"/>
        </w:trPr>
        <w:tc>
          <w:tcPr>
            <w:tcW w:w="350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LOS PORTICOS</w:t>
            </w:r>
          </w:p>
        </w:tc>
        <w:tc>
          <w:tcPr>
            <w:tcW w:w="350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USAQUEN</w:t>
            </w:r>
          </w:p>
        </w:tc>
        <w:tc>
          <w:tcPr>
            <w:tcW w:w="236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b/>
                <w:color w:val="27AE60"/>
                <w:sz w:val="20"/>
              </w:rPr>
              <w:t>SI</w:t>
            </w:r>
          </w:p>
        </w:tc>
      </w:tr>
      <w:tr w:rsidR="00CD7EAC">
        <w:trPr>
          <w:jc w:val="center"/>
        </w:trPr>
        <w:tc>
          <w:tcPr>
            <w:tcW w:w="350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lastRenderedPageBreak/>
              <w:t>MARLY</w:t>
            </w:r>
          </w:p>
        </w:tc>
        <w:tc>
          <w:tcPr>
            <w:tcW w:w="350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CHAPINERO</w:t>
            </w:r>
          </w:p>
        </w:tc>
        <w:tc>
          <w:tcPr>
            <w:tcW w:w="236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b/>
                <w:color w:val="27AE60"/>
                <w:sz w:val="20"/>
              </w:rPr>
              <w:t>SI</w:t>
            </w:r>
          </w:p>
        </w:tc>
      </w:tr>
      <w:tr w:rsidR="00CD7EAC">
        <w:trPr>
          <w:jc w:val="center"/>
        </w:trPr>
        <w:tc>
          <w:tcPr>
            <w:tcW w:w="350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MODELIA</w:t>
            </w:r>
          </w:p>
        </w:tc>
        <w:tc>
          <w:tcPr>
            <w:tcW w:w="350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FONTIBON</w:t>
            </w:r>
          </w:p>
        </w:tc>
        <w:tc>
          <w:tcPr>
            <w:tcW w:w="236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b/>
                <w:color w:val="27AE60"/>
                <w:sz w:val="20"/>
              </w:rPr>
              <w:t>SI</w:t>
            </w:r>
          </w:p>
        </w:tc>
      </w:tr>
      <w:tr w:rsidR="00CD7EAC">
        <w:trPr>
          <w:jc w:val="center"/>
        </w:trPr>
        <w:tc>
          <w:tcPr>
            <w:tcW w:w="350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SAN ANDRESITO</w:t>
            </w:r>
          </w:p>
        </w:tc>
        <w:tc>
          <w:tcPr>
            <w:tcW w:w="350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PUENTE ARANDA</w:t>
            </w:r>
          </w:p>
        </w:tc>
        <w:tc>
          <w:tcPr>
            <w:tcW w:w="236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b/>
                <w:color w:val="27AE60"/>
                <w:sz w:val="20"/>
              </w:rPr>
              <w:t>SI</w:t>
            </w:r>
          </w:p>
        </w:tc>
      </w:tr>
      <w:tr w:rsidR="00CD7EAC">
        <w:trPr>
          <w:jc w:val="center"/>
        </w:trPr>
        <w:tc>
          <w:tcPr>
            <w:tcW w:w="350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SUBAZAR</w:t>
            </w:r>
          </w:p>
        </w:tc>
        <w:tc>
          <w:tcPr>
            <w:tcW w:w="350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SUBA</w:t>
            </w:r>
          </w:p>
        </w:tc>
        <w:tc>
          <w:tcPr>
            <w:tcW w:w="236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b/>
                <w:color w:val="27AE60"/>
                <w:sz w:val="20"/>
              </w:rPr>
              <w:t>SI</w:t>
            </w:r>
          </w:p>
        </w:tc>
      </w:tr>
      <w:tr w:rsidR="00CD7EAC">
        <w:trPr>
          <w:jc w:val="center"/>
        </w:trPr>
        <w:tc>
          <w:tcPr>
            <w:tcW w:w="350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ZONA ROSA</w:t>
            </w:r>
          </w:p>
        </w:tc>
        <w:tc>
          <w:tcPr>
            <w:tcW w:w="350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CHAPINERO</w:t>
            </w:r>
          </w:p>
        </w:tc>
        <w:tc>
          <w:tcPr>
            <w:tcW w:w="236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b/>
                <w:color w:val="27AE60"/>
                <w:sz w:val="20"/>
              </w:rPr>
              <w:t>SI</w:t>
            </w:r>
          </w:p>
        </w:tc>
      </w:tr>
      <w:tr w:rsidR="00CD7EAC">
        <w:trPr>
          <w:jc w:val="center"/>
        </w:trPr>
        <w:tc>
          <w:tcPr>
            <w:tcW w:w="350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1 DE MAYO</w:t>
            </w:r>
          </w:p>
        </w:tc>
        <w:tc>
          <w:tcPr>
            <w:tcW w:w="350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KENNEDY</w:t>
            </w:r>
          </w:p>
        </w:tc>
        <w:tc>
          <w:tcPr>
            <w:tcW w:w="236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b/>
                <w:color w:val="E74C3C"/>
                <w:sz w:val="20"/>
              </w:rPr>
              <w:t>NO</w:t>
            </w:r>
          </w:p>
        </w:tc>
      </w:tr>
      <w:tr w:rsidR="00CD7EAC">
        <w:trPr>
          <w:jc w:val="center"/>
        </w:trPr>
        <w:tc>
          <w:tcPr>
            <w:tcW w:w="350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CALLE 116</w:t>
            </w:r>
          </w:p>
        </w:tc>
        <w:tc>
          <w:tcPr>
            <w:tcW w:w="350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SUBA</w:t>
            </w:r>
          </w:p>
        </w:tc>
        <w:tc>
          <w:tcPr>
            <w:tcW w:w="236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b/>
                <w:color w:val="E74C3C"/>
                <w:sz w:val="20"/>
              </w:rPr>
              <w:t>NO</w:t>
            </w:r>
          </w:p>
        </w:tc>
      </w:tr>
      <w:tr w:rsidR="00CD7EAC">
        <w:trPr>
          <w:jc w:val="center"/>
        </w:trPr>
        <w:tc>
          <w:tcPr>
            <w:tcW w:w="350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GALERIAS</w:t>
            </w:r>
          </w:p>
        </w:tc>
        <w:tc>
          <w:tcPr>
            <w:tcW w:w="350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TEUSAQUILLO</w:t>
            </w:r>
          </w:p>
        </w:tc>
        <w:tc>
          <w:tcPr>
            <w:tcW w:w="236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b/>
                <w:color w:val="E74C3C"/>
                <w:sz w:val="20"/>
              </w:rPr>
              <w:t>NO</w:t>
            </w:r>
          </w:p>
        </w:tc>
      </w:tr>
      <w:tr w:rsidR="00CD7EAC">
        <w:trPr>
          <w:jc w:val="center"/>
        </w:trPr>
        <w:tc>
          <w:tcPr>
            <w:tcW w:w="350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MARICHUELA</w:t>
            </w:r>
          </w:p>
        </w:tc>
        <w:tc>
          <w:tcPr>
            <w:tcW w:w="350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USME</w:t>
            </w:r>
          </w:p>
        </w:tc>
        <w:tc>
          <w:tcPr>
            <w:tcW w:w="236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b/>
                <w:color w:val="E74C3C"/>
                <w:sz w:val="20"/>
              </w:rPr>
              <w:t>NO</w:t>
            </w:r>
          </w:p>
        </w:tc>
      </w:tr>
      <w:tr w:rsidR="00CD7EAC">
        <w:trPr>
          <w:jc w:val="center"/>
        </w:trPr>
        <w:tc>
          <w:tcPr>
            <w:tcW w:w="350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NORMANDIA</w:t>
            </w:r>
          </w:p>
        </w:tc>
        <w:tc>
          <w:tcPr>
            <w:tcW w:w="350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ENGATIVA</w:t>
            </w:r>
          </w:p>
        </w:tc>
        <w:tc>
          <w:tcPr>
            <w:tcW w:w="236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b/>
                <w:color w:val="E74C3C"/>
                <w:sz w:val="20"/>
              </w:rPr>
              <w:t>NO</w:t>
            </w:r>
          </w:p>
        </w:tc>
      </w:tr>
      <w:tr w:rsidR="00CD7EAC">
        <w:trPr>
          <w:jc w:val="center"/>
        </w:trPr>
        <w:tc>
          <w:tcPr>
            <w:tcW w:w="350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PALERMO</w:t>
            </w:r>
          </w:p>
        </w:tc>
        <w:tc>
          <w:tcPr>
            <w:tcW w:w="350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TEUSAQUILLO</w:t>
            </w:r>
          </w:p>
        </w:tc>
        <w:tc>
          <w:tcPr>
            <w:tcW w:w="236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b/>
                <w:color w:val="E74C3C"/>
                <w:sz w:val="20"/>
              </w:rPr>
              <w:t>NO</w:t>
            </w:r>
          </w:p>
        </w:tc>
      </w:tr>
      <w:tr w:rsidR="00CD7EAC">
        <w:trPr>
          <w:jc w:val="center"/>
        </w:trPr>
        <w:tc>
          <w:tcPr>
            <w:tcW w:w="350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RESTREPO</w:t>
            </w:r>
          </w:p>
        </w:tc>
        <w:tc>
          <w:tcPr>
            <w:tcW w:w="350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ANTONIO NARIÑO</w:t>
            </w:r>
          </w:p>
        </w:tc>
        <w:tc>
          <w:tcPr>
            <w:tcW w:w="2360"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b/>
                <w:color w:val="E74C3C"/>
                <w:sz w:val="20"/>
              </w:rPr>
              <w:t>NO</w:t>
            </w:r>
          </w:p>
        </w:tc>
      </w:tr>
      <w:tr w:rsidR="00CD7EAC">
        <w:trPr>
          <w:jc w:val="center"/>
        </w:trPr>
        <w:tc>
          <w:tcPr>
            <w:tcW w:w="350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SAN JOSE</w:t>
            </w:r>
          </w:p>
        </w:tc>
        <w:tc>
          <w:tcPr>
            <w:tcW w:w="350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CANDELARIA</w:t>
            </w:r>
          </w:p>
        </w:tc>
        <w:tc>
          <w:tcPr>
            <w:tcW w:w="2360"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b/>
                <w:color w:val="E74C3C"/>
                <w:sz w:val="20"/>
              </w:rPr>
              <w:t>NO</w:t>
            </w:r>
          </w:p>
        </w:tc>
      </w:tr>
    </w:tbl>
    <w:p w:rsidR="00CD7EAC" w:rsidRDefault="000622AA">
      <w:r>
        <w:rPr>
          <w:i/>
          <w:sz w:val="18"/>
        </w:rPr>
        <w:t xml:space="preserve">Tabla 1. Zonas focalizadas de rumba, Bogotá D.C. (n=27). Verde = horario extendido; Rojo = </w:t>
      </w:r>
      <w:r>
        <w:rPr>
          <w:i/>
          <w:sz w:val="18"/>
        </w:rPr>
        <w:t>horario estándar.</w:t>
      </w:r>
    </w:p>
    <w:p w:rsidR="00CD7EAC" w:rsidRDefault="00CD7EAC"/>
    <w:p w:rsidR="00CD7EAC" w:rsidRDefault="000622AA">
      <w:pPr>
        <w:pStyle w:val="Ttulo1"/>
      </w:pPr>
      <w:r>
        <w:t>3. Metodología</w:t>
      </w:r>
    </w:p>
    <w:p w:rsidR="00CD7EAC" w:rsidRDefault="00CD7EAC"/>
    <w:p w:rsidR="00CD7EAC" w:rsidRDefault="000622AA">
      <w:pPr>
        <w:pStyle w:val="Ttulo2"/>
      </w:pPr>
      <w:r>
        <w:t>3.1 Fuentes de datos</w:t>
      </w:r>
    </w:p>
    <w:p w:rsidR="00CD7EAC" w:rsidRDefault="00CD7EAC"/>
    <w:p w:rsidR="00CD7EAC" w:rsidRDefault="000622AA">
      <w:r>
        <w:t>Los datos utilizados en el presente análisis provienen de las siguientes fuentes:</w:t>
      </w:r>
    </w:p>
    <w:p w:rsidR="00CD7EAC" w:rsidRDefault="000622AA">
      <w:r>
        <w:rPr>
          <w:b/>
        </w:rPr>
        <w:t xml:space="preserve">Capa geográfica SHAPE_ZONA_RUMBA_DEFINITIVO: </w:t>
      </w:r>
      <w:r>
        <w:t xml:space="preserve">Polígonos de las 27 zonas focalizadas de rumba de Bogotá. Atributos </w:t>
      </w:r>
      <w:r>
        <w:t>clave: NOMBRE_ZON (nombre de la zona) y Extendida (SI/NO según autorización de horario extendido).</w:t>
      </w:r>
    </w:p>
    <w:p w:rsidR="00CD7EAC" w:rsidRDefault="000622AA">
      <w:r>
        <w:rPr>
          <w:b/>
        </w:rPr>
        <w:t xml:space="preserve">Excel QuejasRuidoBaresCantinasEneroaMayo2022a2026.xlsx: </w:t>
      </w:r>
      <w:r>
        <w:t>Registro de notificaciones de ruido por rumba, período enero–mayo para los años 2022 a 2026. Contiene</w:t>
      </w:r>
      <w:r>
        <w:t xml:space="preserve"> la fecha de la queja (Fecha_Queja), coordenadas geográficas (X, Y en EPSG:4326), localidad, UPZ, barrio, y la zona de rumba y horario extendido pre-asignados (NOMBRE_ZONA, HORARIO DE RUMBA EXTENDIDO).</w:t>
      </w:r>
    </w:p>
    <w:p w:rsidR="00CD7EAC" w:rsidRDefault="000622AA">
      <w:r>
        <w:rPr>
          <w:b/>
        </w:rPr>
        <w:t xml:space="preserve">Buffers de áreas de influencia: </w:t>
      </w:r>
      <w:r>
        <w:t>Capas de buffer previa</w:t>
      </w:r>
      <w:r>
        <w:t>mente calculadas sobre las zonas de rumba: 250 m, 300 m y 500 m (EPSG:4326).</w:t>
      </w:r>
    </w:p>
    <w:p w:rsidR="00CD7EAC" w:rsidRDefault="000622AA">
      <w:pPr>
        <w:pStyle w:val="Ttulo2"/>
      </w:pPr>
      <w:r>
        <w:lastRenderedPageBreak/>
        <w:t>3.2 Procesamiento de insumos en formato vector</w:t>
      </w:r>
    </w:p>
    <w:p w:rsidR="00CD7EAC" w:rsidRDefault="00CD7EAC"/>
    <w:p w:rsidR="00CD7EAC" w:rsidRDefault="000622AA">
      <w:r>
        <w:t>El procesamiento vectorial comprende la secuencia de operaciones aplicadas sobre las capas geográficas de polígonos y puntos que de</w:t>
      </w:r>
      <w:r>
        <w:t>finen el territorio de análisis y las observaciones del fenómeno estudiado. A continuación se describen cada uno de los pasos ejecutados en el entorno QGIS 3.x / PyQGIS.</w:t>
      </w:r>
    </w:p>
    <w:p w:rsidR="00CD7EAC" w:rsidRDefault="000622AA">
      <w:r>
        <w:rPr>
          <w:b/>
        </w:rPr>
        <w:t>3.2.1  Carga y reproyección de capas base</w:t>
      </w:r>
    </w:p>
    <w:p w:rsidR="00CD7EAC" w:rsidRDefault="000622AA">
      <w:r>
        <w:t>La capa fuente de las zonas focalizadas de r</w:t>
      </w:r>
      <w:r>
        <w:t xml:space="preserve">umba (SHAPE_ZONA_RUMBA_DEFINITIVO) se encuentra en el Sistema de Referencia de Coordenadas EPSG:4686 (MAGNA-SIRGAS — Colombia Bogotá). Dado que el análisis KDE y los buffers finales se expresan en EPSG:4326 (WGS 84), se realizó una reproyección automática </w:t>
      </w:r>
      <w:r>
        <w:t>en memoria durante el procesamiento mediante PyQGIS. La capa contiene 27 polígonos válidos, verificados sin geometrías nulas ni autointersecciones. Los atributos empleados son: NOMBRE_ZON (identificador del nombre de la zona) y Extendida (indicador de hora</w:t>
      </w:r>
      <w:r>
        <w:t>rio extendido: SI / NO).</w:t>
      </w:r>
    </w:p>
    <w:p w:rsidR="00CD7EAC" w:rsidRDefault="000622AA">
      <w:r>
        <w:rPr>
          <w:b/>
        </w:rPr>
        <w:t>3.2.2  Generación de áreas de influencia (buffers)</w:t>
      </w:r>
    </w:p>
    <w:p w:rsidR="00CD7EAC" w:rsidRDefault="000622AA">
      <w:r>
        <w:t>Se generaron tres zonas concéntricas de influencia sobre el perímetro de cada zona focalizada, correspondientes a distancias de 250 m, 300 m y 500 m. El procedimiento fue el siguie</w:t>
      </w:r>
      <w:r>
        <w:t>nte:</w:t>
      </w:r>
    </w:p>
    <w:p w:rsidR="00CD7EAC" w:rsidRDefault="000622AA">
      <w:pPr>
        <w:pStyle w:val="Listaconvietas"/>
      </w:pPr>
      <w:r>
        <w:t>Reproyección previa de los polígonos a EPSG:3116 (Magna Sirgas Colombia Bogotá, sistema proyectado en metros) para garantizar que las distancias de buffer estén expresadas en unidades métricas reales y no en grados decimales.</w:t>
      </w:r>
    </w:p>
    <w:p w:rsidR="00CD7EAC" w:rsidRDefault="000622AA">
      <w:pPr>
        <w:pStyle w:val="Listaconvietas"/>
      </w:pPr>
      <w:r>
        <w:t>Aplicación de la herramie</w:t>
      </w:r>
      <w:r>
        <w:t>nta 'Zonas de influencia (Buffer)' de QGIS con disolución por nivel de distancia, obteniendo una superficie continua que agrupa todos los polígonos de rumba bajo un mismo perímetro por cada radio de influencia.</w:t>
      </w:r>
    </w:p>
    <w:p w:rsidR="00CD7EAC" w:rsidRDefault="000622AA">
      <w:pPr>
        <w:pStyle w:val="Listaconvietas"/>
      </w:pPr>
      <w:r>
        <w:t>Reconversión de los buffers resultantes a EPS</w:t>
      </w:r>
      <w:r>
        <w:t>G:4326 para homologar el sistema de referencia con las demás capas del análisis.</w:t>
      </w:r>
    </w:p>
    <w:p w:rsidR="00CD7EAC" w:rsidRDefault="000622AA">
      <w:r>
        <w:t>El buffer de 500 m constituye el límite exterior del área de estudio. Únicamente las notificaciones contenidas dentro de este perímetro —o dentro de las zonas directas— fueron</w:t>
      </w:r>
      <w:r>
        <w:t xml:space="preserve"> incluidas en el análisis.</w:t>
      </w:r>
    </w:p>
    <w:p w:rsidR="00CD7EAC" w:rsidRDefault="000622AA">
      <w:r>
        <w:rPr>
          <w:b/>
        </w:rPr>
        <w:t>3.2.3  Construcción de la capa de notificaciones puntual</w:t>
      </w:r>
    </w:p>
    <w:p w:rsidR="00CD7EAC" w:rsidRDefault="000622AA">
      <w:r>
        <w:t>Las notificaciones de ruido por rumba fueron suministradas en formato tabular (archivo Microsoft Excel QuejasRuidoBaresCantinasEneroaMayo2022a2026.xlsx), en una sola hoja c</w:t>
      </w:r>
      <w:r>
        <w:t>on registros de los cinco años (período enero–mayo de cada año), discriminados mediante la columna Fecha_Queja. El proceso de conversión a capa puntual comprendió los siguientes pasos:</w:t>
      </w:r>
    </w:p>
    <w:p w:rsidR="00CD7EAC" w:rsidRDefault="000622AA">
      <w:pPr>
        <w:pStyle w:val="Listaconvietas"/>
      </w:pPr>
      <w:r>
        <w:t>Lectura del archivo Excel mediante Python (openpyxl) dentro del entorno</w:t>
      </w:r>
      <w:r>
        <w:t xml:space="preserve"> QGIS. Los campos de posición empleados fueron X (longitud) e Y (latitud), ambos en coordenadas geográficas EPSG:4326 (WGS 84).</w:t>
      </w:r>
    </w:p>
    <w:p w:rsidR="00CD7EAC" w:rsidRDefault="000622AA">
      <w:pPr>
        <w:pStyle w:val="Listaconvietas"/>
      </w:pPr>
      <w:r>
        <w:lastRenderedPageBreak/>
        <w:t xml:space="preserve">Validación de registros: se descartó 1 fila correspondiente a un encabezado duplicado insertado dentro del cuerpo de datos, y 9 </w:t>
      </w:r>
      <w:r>
        <w:t>registros con coordenadas nulas, no numéricas o fuera del rango geográfico de Bogotá D.C.</w:t>
      </w:r>
    </w:p>
    <w:p w:rsidR="00CD7EAC" w:rsidRDefault="000622AA">
      <w:pPr>
        <w:pStyle w:val="Listaconvietas"/>
      </w:pPr>
      <w:r>
        <w:t>Clasificación de cada notificación por año a partir del campo Fecha_Queja (enero–mayo de 2022 a 2026).</w:t>
      </w:r>
    </w:p>
    <w:p w:rsidR="00CD7EAC" w:rsidRDefault="000622AA">
      <w:pPr>
        <w:pStyle w:val="Listaconvietas"/>
      </w:pPr>
      <w:r>
        <w:t>Creación de capas de memoria tipo Punto (PointLayer) en QGIS, u</w:t>
      </w:r>
      <w:r>
        <w:t>na por año, con los atributos: año, mes, X, Y, NOMBRE_ZON, horario extendido (Extendida), LOCALNOMBR e IDGEO.</w:t>
      </w:r>
    </w:p>
    <w:p w:rsidR="00CD7EAC" w:rsidRDefault="000622AA">
      <w:r>
        <w:t>Resultado final: 564 puntos válidos distribuidos en los cinco años (2022: 19; 2023: 36; 2024: 119; 2025: 127; 2026: 263 notificaciones en el unive</w:t>
      </w:r>
      <w:r>
        <w:t>rso total). De estos, 92 puntos se ubican dentro del área de influencia de 500 m (2022: 3; 2023: 7; 2024: 21; 2025: 24; 2026: 37).</w:t>
      </w:r>
    </w:p>
    <w:p w:rsidR="00CD7EAC" w:rsidRDefault="000622AA">
      <w:r>
        <w:rPr>
          <w:b/>
        </w:rPr>
        <w:t>3.2.4  Filtrado espacial y asignación de anillo de influencia</w:t>
      </w:r>
    </w:p>
    <w:p w:rsidR="00CD7EAC" w:rsidRDefault="000622AA">
      <w:r>
        <w:t>Con las capas puntuales y los buffers construidos, se ejecutó e</w:t>
      </w:r>
      <w:r>
        <w:t>l filtrado espacial mediante operaciones de contenencia geométrica (QgsGeometry.contains()) implementadas en PyQGIS. El procedimiento garantiza que el análisis se circunscriba exclusivamente a las notificaciones ubicadas dentro del área de influencia máxim</w:t>
      </w:r>
      <w:r>
        <w:t>a de 500 m, conforme al enfoque del ejercicio:</w:t>
      </w:r>
    </w:p>
    <w:p w:rsidR="00CD7EAC" w:rsidRDefault="000622AA">
      <w:pPr>
        <w:pStyle w:val="Listaconvietas"/>
      </w:pPr>
      <w:r>
        <w:t>Obtención de la geometría de unión del buffer de 500 m (combinación de todos los polígonos de buffer mediante QgsGeometry.unaryUnion()) para utilizarla como contorno de inclusión.</w:t>
      </w:r>
    </w:p>
    <w:p w:rsidR="00CD7EAC" w:rsidRDefault="000622AA">
      <w:pPr>
        <w:pStyle w:val="Listaconvietas"/>
      </w:pPr>
      <w:r>
        <w:t>Iteración sobre cada notifica</w:t>
      </w:r>
      <w:r>
        <w:t>ción verificando si el punto se encuentra contenido dentro de la geometría de unión. Las notificaciones que no cumplen esta condición son excluidas definitivamente del análisis.</w:t>
      </w:r>
    </w:p>
    <w:p w:rsidR="00CD7EAC" w:rsidRDefault="000622AA">
      <w:pPr>
        <w:pStyle w:val="Listaconvietas"/>
      </w:pPr>
      <w:r>
        <w:t>Asignación jerárquica de anillo de influencia: cada notificación válida se cla</w:t>
      </w:r>
      <w:r>
        <w:t>sifica en el anillo más interno en el que se ubica, siguiendo la jerarquía zona directa &gt; anillo 0–250 m &gt; anillo 250–300 m &gt; anillo 300–500 m. La asignación es mutuamente excluyente, eliminando el riesgo de doble conteo.</w:t>
      </w:r>
    </w:p>
    <w:p w:rsidR="00CD7EAC" w:rsidRDefault="000622AA">
      <w:r>
        <w:t>El resultado es una tabla de conte</w:t>
      </w:r>
      <w:r>
        <w:t>os por año y por anillo, insumo directo para las Tablas 3 y 4 y la Figura 1 del presente informe.</w:t>
      </w:r>
    </w:p>
    <w:p w:rsidR="00CD7EAC" w:rsidRDefault="000622AA">
      <w:pPr>
        <w:pStyle w:val="Ttulo2"/>
      </w:pPr>
      <w:r>
        <w:t>3.3 Procesamiento de insumos en formato raster</w:t>
      </w:r>
    </w:p>
    <w:p w:rsidR="00CD7EAC" w:rsidRDefault="00CD7EAC"/>
    <w:p w:rsidR="00CD7EAC" w:rsidRDefault="000622AA">
      <w:r>
        <w:t>El procesamiento raster comprende la generación de superficies de densidad continua mediante Estimación de Den</w:t>
      </w:r>
      <w:r>
        <w:t>sidad Kernel (KDE), su alineación espacial, el cálculo de diferencias temporales entre años y la identificación de sectores con comportamiento completamente nuevo en 2026. Todos los rásters producidos se almacenan en formato GeoTIFF con sistema de referenc</w:t>
      </w:r>
      <w:r>
        <w:t>ia EPSG:4326.</w:t>
      </w:r>
    </w:p>
    <w:p w:rsidR="00CD7EAC" w:rsidRDefault="000622AA">
      <w:r>
        <w:rPr>
          <w:b/>
        </w:rPr>
        <w:t>3.3.1  Estimación de Densidad Kernel (KDE) individual por año</w:t>
      </w:r>
    </w:p>
    <w:p w:rsidR="00CD7EAC" w:rsidRDefault="000622AA">
      <w:r>
        <w:t xml:space="preserve">Se calcularon cinco superficies KDE, una por cada año del período analizado (enero–mayo, 2022–2026), usando como insumo los puntos de notificación filtrados dentro del área de </w:t>
      </w:r>
      <w:r>
        <w:lastRenderedPageBreak/>
        <w:t>infl</w:t>
      </w:r>
      <w:r>
        <w:t>uencia de 500 m. Se utilizó la herramienta 'Mapa de calor (Estimación de Densidad Kernel)' (qgis:heatmapkerneldensityestimation) del marco de procesamiento de QGIS 3.x. Los parámetros se mantuvieron idénticos para los cinco años, garantizando la comparabil</w:t>
      </w:r>
      <w:r>
        <w:t>idad de las superficies producidas:</w:t>
      </w:r>
    </w:p>
    <w:tbl>
      <w:tblPr>
        <w:tblW w:w="0" w:type="auto"/>
        <w:jc w:val="center"/>
        <w:tblLook w:val="04A0" w:firstRow="1" w:lastRow="0" w:firstColumn="1" w:lastColumn="0" w:noHBand="0" w:noVBand="1"/>
      </w:tblPr>
      <w:tblGrid>
        <w:gridCol w:w="4703"/>
        <w:gridCol w:w="4703"/>
      </w:tblGrid>
      <w:tr w:rsidR="00CD7EAC">
        <w:trPr>
          <w:jc w:val="center"/>
        </w:trPr>
        <w:tc>
          <w:tcPr>
            <w:tcW w:w="4703"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Parámetro</w:t>
            </w:r>
          </w:p>
        </w:tc>
        <w:tc>
          <w:tcPr>
            <w:tcW w:w="4703"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Valor</w:t>
            </w:r>
          </w:p>
        </w:tc>
      </w:tr>
      <w:tr w:rsidR="00CD7EAC">
        <w:trPr>
          <w:jc w:val="center"/>
        </w:trPr>
        <w:tc>
          <w:tcPr>
            <w:tcW w:w="4703"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r>
              <w:rPr>
                <w:b/>
                <w:sz w:val="20"/>
              </w:rPr>
              <w:t>Función kernel</w:t>
            </w:r>
          </w:p>
        </w:tc>
        <w:tc>
          <w:tcPr>
            <w:tcW w:w="4703"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r>
              <w:rPr>
                <w:sz w:val="20"/>
              </w:rPr>
              <w:t>Cuártica (Quartic)</w:t>
            </w:r>
          </w:p>
        </w:tc>
      </w:tr>
      <w:tr w:rsidR="00CD7EAC">
        <w:trPr>
          <w:jc w:val="center"/>
        </w:trPr>
        <w:tc>
          <w:tcPr>
            <w:tcW w:w="4703"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r>
              <w:rPr>
                <w:b/>
                <w:sz w:val="20"/>
              </w:rPr>
              <w:t>Bandwidth (radio)</w:t>
            </w:r>
          </w:p>
        </w:tc>
        <w:tc>
          <w:tcPr>
            <w:tcW w:w="4703"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r>
              <w:rPr>
                <w:sz w:val="20"/>
              </w:rPr>
              <w:t>500 m ≈ 0,0045° en EPSG:4326</w:t>
            </w:r>
          </w:p>
        </w:tc>
      </w:tr>
      <w:tr w:rsidR="00CD7EAC">
        <w:trPr>
          <w:jc w:val="center"/>
        </w:trPr>
        <w:tc>
          <w:tcPr>
            <w:tcW w:w="4703"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r>
              <w:rPr>
                <w:b/>
                <w:sz w:val="20"/>
              </w:rPr>
              <w:t>Tamaño de celda</w:t>
            </w:r>
          </w:p>
        </w:tc>
        <w:tc>
          <w:tcPr>
            <w:tcW w:w="4703"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r>
              <w:rPr>
                <w:sz w:val="20"/>
              </w:rPr>
              <w:t>50 m ≈ 0,0005° en EPSG:4326</w:t>
            </w:r>
          </w:p>
        </w:tc>
      </w:tr>
      <w:tr w:rsidR="00CD7EAC">
        <w:trPr>
          <w:jc w:val="center"/>
        </w:trPr>
        <w:tc>
          <w:tcPr>
            <w:tcW w:w="4703"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r>
              <w:rPr>
                <w:b/>
                <w:sz w:val="20"/>
              </w:rPr>
              <w:t>Sistema de referencia</w:t>
            </w:r>
          </w:p>
        </w:tc>
        <w:tc>
          <w:tcPr>
            <w:tcW w:w="4703"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r>
              <w:rPr>
                <w:sz w:val="20"/>
              </w:rPr>
              <w:t>EPSG:4326 (WGS 84)</w:t>
            </w:r>
          </w:p>
        </w:tc>
      </w:tr>
      <w:tr w:rsidR="00CD7EAC">
        <w:trPr>
          <w:jc w:val="center"/>
        </w:trPr>
        <w:tc>
          <w:tcPr>
            <w:tcW w:w="4703"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r>
              <w:rPr>
                <w:b/>
                <w:sz w:val="20"/>
              </w:rPr>
              <w:t>Escala de salida</w:t>
            </w:r>
          </w:p>
        </w:tc>
        <w:tc>
          <w:tcPr>
            <w:tcW w:w="4703"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r>
              <w:rPr>
                <w:sz w:val="20"/>
              </w:rPr>
              <w:t>Conteos en bruto</w:t>
            </w:r>
            <w:r>
              <w:rPr>
                <w:sz w:val="20"/>
              </w:rPr>
              <w:t xml:space="preserve"> (raw counts)</w:t>
            </w:r>
          </w:p>
        </w:tc>
      </w:tr>
      <w:tr w:rsidR="00CD7EAC">
        <w:trPr>
          <w:jc w:val="center"/>
        </w:trPr>
        <w:tc>
          <w:tcPr>
            <w:tcW w:w="4703"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r>
              <w:rPr>
                <w:b/>
                <w:sz w:val="20"/>
              </w:rPr>
              <w:t>Años procesados</w:t>
            </w:r>
          </w:p>
        </w:tc>
        <w:tc>
          <w:tcPr>
            <w:tcW w:w="4703"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r>
              <w:rPr>
                <w:sz w:val="20"/>
              </w:rPr>
              <w:t>2022, 2023, 2024, 2025, 2026 (enero–mayo)</w:t>
            </w:r>
          </w:p>
        </w:tc>
      </w:tr>
    </w:tbl>
    <w:p w:rsidR="00CD7EAC" w:rsidRDefault="000622AA">
      <w:r>
        <w:rPr>
          <w:i/>
          <w:sz w:val="18"/>
        </w:rPr>
        <w:t>Tabla 2. Parámetros de la Estimación de Densidad Kernel (KDE).</w:t>
      </w:r>
    </w:p>
    <w:p w:rsidR="00CD7EAC" w:rsidRDefault="00CD7EAC"/>
    <w:p w:rsidR="00CD7EAC" w:rsidRDefault="000622AA">
      <w:r>
        <w:t>El valor de salida corresponde a densidad de tipo raw (conteo acumulado ponderado por la función cuártica), sin normal</w:t>
      </w:r>
      <w:r>
        <w:t>ización por área de kernel. Los archivos resultantes son: KDE_YYYY_EneroMayo.tif, con tamaño de celda de 0,0005° (~50 m) y sistema de referencia EPSG:4326.</w:t>
      </w:r>
    </w:p>
    <w:p w:rsidR="00CD7EAC" w:rsidRDefault="000622AA">
      <w:r>
        <w:rPr>
          <w:b/>
        </w:rPr>
        <w:t>3.3.2  Alineación espacial de rásters a extensión de referencia (warping)</w:t>
      </w:r>
    </w:p>
    <w:p w:rsidR="00CD7EAC" w:rsidRDefault="000622AA">
      <w:r>
        <w:t>La operación de álgebra de</w:t>
      </w:r>
      <w:r>
        <w:t xml:space="preserve"> mapas entre rásters requiere que las superficies a comparar compartan exactamente la misma extensión espacial, el mismo número de filas y columnas, y la misma resolución de celda (grilla coincidente píxel a píxel). En este análisis, cada KDE anual present</w:t>
      </w:r>
      <w:r>
        <w:t>a una extensión ligeramente diferente, proporcional a la distribución de sus puntos de entrada. Para resolver esta incompatibilidad, se reproyectaron y remuestrearon todos los rásters de años base (2022–2025) al espacio de referencia de KDE_2026 mediante e</w:t>
      </w:r>
      <w:r>
        <w:t>l algoritmo gdal:warpreproject de QGIS:</w:t>
      </w:r>
    </w:p>
    <w:p w:rsidR="00CD7EAC" w:rsidRDefault="000622AA">
      <w:pPr>
        <w:pStyle w:val="Listaconvietas"/>
      </w:pPr>
      <w:r>
        <w:t>Extensión destino: idéntica a la extensión de KDE_2026_EneroMayo.tif (274 × 482 píxeles; longitud −74,1923° a −74,0553°; latitud 4,5065° a 4,7475°).</w:t>
      </w:r>
    </w:p>
    <w:p w:rsidR="00CD7EAC" w:rsidRDefault="000622AA">
      <w:pPr>
        <w:pStyle w:val="Listaconvietas"/>
      </w:pPr>
      <w:r>
        <w:t>Resolución destino: 0,0005° (~50 m) en X e Y, idéntica a la resoluc</w:t>
      </w:r>
      <w:r>
        <w:t>ión de KDE_2026.</w:t>
      </w:r>
    </w:p>
    <w:p w:rsidR="00CD7EAC" w:rsidRDefault="000622AA">
      <w:pPr>
        <w:pStyle w:val="Listaconvietas"/>
      </w:pPr>
      <w:r>
        <w:t>Método de resampleo: bilineal (interpolación de los cuatro píxeles vecinos más próximos), apropiado para variables continuas de densidad como las superficies KDE.</w:t>
      </w:r>
    </w:p>
    <w:p w:rsidR="00CD7EAC" w:rsidRDefault="000622AA">
      <w:pPr>
        <w:pStyle w:val="Listaconvietas"/>
      </w:pPr>
      <w:r>
        <w:t xml:space="preserve">Valor NoData de salida: 0 (las celdas fuera de la extensión original del </w:t>
      </w:r>
      <w:r>
        <w:t>ráster base reciben densidad cero, coherente con la ausencia de notificaciones en esa área).</w:t>
      </w:r>
    </w:p>
    <w:p w:rsidR="00CD7EAC" w:rsidRDefault="000622AA">
      <w:r>
        <w:t>Los rásters alineados se guardan como archivos intermedios (KDE_YYYY_warped_to_2026_EneroMayo.tif) y constituyen la entrada directa para el cálculo de las superfic</w:t>
      </w:r>
      <w:r>
        <w:t>ies diferenciales.</w:t>
      </w:r>
    </w:p>
    <w:p w:rsidR="00CD7EAC" w:rsidRDefault="000622AA">
      <w:r>
        <w:rPr>
          <w:b/>
        </w:rPr>
        <w:lastRenderedPageBreak/>
        <w:t>3.3.3  Cálculo de KDE diferenciales (KDE_2026 − KDE_añoBase)</w:t>
      </w:r>
    </w:p>
    <w:p w:rsidR="00CD7EAC" w:rsidRDefault="000622AA">
      <w:r>
        <w:t>Una vez alineados todos los rásters a una grilla común, se calcularon cuatro superficies de diferencia mediante álgebra de mapas con el algoritmo gdal:rastercalculator de QGIS,</w:t>
      </w:r>
      <w:r>
        <w:t xml:space="preserve"> aplicando la fórmula A − B (donde A = KDE_2026 y B = KDE_añoBase). La interpretación de los valores diferenciales es la siguiente:</w:t>
      </w:r>
    </w:p>
    <w:p w:rsidR="00CD7EAC" w:rsidRDefault="000622AA">
      <w:pPr>
        <w:pStyle w:val="Listaconvietas"/>
      </w:pPr>
      <w:r>
        <w:t xml:space="preserve">Valores positivos (colores cálidos en la visualización): la densidad de notificaciones en 2026 es mayor que en el año base. </w:t>
      </w:r>
      <w:r>
        <w:t>Indica agravamiento o aparición del fenómeno en ese sector del territorio.</w:t>
      </w:r>
    </w:p>
    <w:p w:rsidR="00CD7EAC" w:rsidRDefault="000622AA">
      <w:pPr>
        <w:pStyle w:val="Listaconvietas"/>
      </w:pPr>
      <w:r>
        <w:t>Valores negativos (colores fríos): la densidad fue mayor en el año base que en 2026. Indica reducción o desplazamiento del fenómeno respecto a ese año de referencia.</w:t>
      </w:r>
    </w:p>
    <w:p w:rsidR="00CD7EAC" w:rsidRDefault="000622AA">
      <w:pPr>
        <w:pStyle w:val="Listaconvietas"/>
      </w:pPr>
      <w:r>
        <w:t>Valores próximo</w:t>
      </w:r>
      <w:r>
        <w:t>s a cero: no hubo cambio significativo en la concentración espacial de notificaciones entre los dos períodos comparados.</w:t>
      </w:r>
    </w:p>
    <w:p w:rsidR="00CD7EAC" w:rsidRDefault="000622AA">
      <w:r>
        <w:t>Los cuatro rásters resultantes (KDE_DIFF_2026_vs_YYYY_EneroMayo.tif) permiten una lectura espacialmente explícita de la evolución tempo</w:t>
      </w:r>
      <w:r>
        <w:t>ral, identificando sector a sector los cambios con mejora, deterioro o estabilidad relativa respecto a cada año de referencia histórico. Cabe señalar que, al cubrir cada KDE anual una extensión rectangular distinta (ajustada a sus propios puntos), la mayor</w:t>
      </w:r>
      <w:r>
        <w:t xml:space="preserve">ía de los píxeles de los rásters diferenciales corresponden a celdas sin dato (NoData) fuera del área común con información real en ambos años comparados; el análisis estadístico (Tabla 7) se calcula únicamente sobre los píxeles con datos válidos en ambas </w:t>
      </w:r>
      <w:r>
        <w:t>superficies.</w:t>
      </w:r>
    </w:p>
    <w:p w:rsidR="00CD7EAC" w:rsidRDefault="000622AA">
      <w:r>
        <w:rPr>
          <w:b/>
        </w:rPr>
        <w:t>3.3.4  Identificación de áreas con densidad nueva en 2026 (máscaras de hotspot)</w:t>
      </w:r>
    </w:p>
    <w:p w:rsidR="00CD7EAC" w:rsidRDefault="000622AA">
      <w:r>
        <w:t>Como análisis complementario a los diferenciales, se identificaron los sectores del territorio donde el incremento de densidad en 2026 es completamente nuevo respe</w:t>
      </w:r>
      <w:r>
        <w:t>cto a cada año base, es decir, zonas donde no existía actividad previa significativa. Se aplicó una doble condición booleana sobre los arrays de valores raster, procesados mediante NumPy a través de la interfaz GDAL de Python:</w:t>
      </w:r>
    </w:p>
    <w:p w:rsidR="00CD7EAC" w:rsidRDefault="000622AA">
      <w:pPr>
        <w:pStyle w:val="Listaconvietas"/>
      </w:pPr>
      <w:r>
        <w:t>Condición 1 — presencia signi</w:t>
      </w:r>
      <w:r>
        <w:t>ficativa en 2026: KDE_2026 &gt; 0,08. Umbral definido a partir del análisis de la distribución de frecuencias de los valores de densidad del año de referencia.</w:t>
      </w:r>
    </w:p>
    <w:p w:rsidR="00CD7EAC" w:rsidRDefault="000622AA">
      <w:pPr>
        <w:pStyle w:val="Listaconvietas"/>
      </w:pPr>
      <w:r>
        <w:t>Condición 2 — ausencia en el año base: KDE_añoBase &lt; 0,01. El píxel registra densidad prácticamente</w:t>
      </w:r>
      <w:r>
        <w:t xml:space="preserve"> nula en el año de referencia (ausencia o valor negligible).</w:t>
      </w:r>
    </w:p>
    <w:p w:rsidR="00CD7EAC" w:rsidRDefault="000622AA">
      <w:pPr>
        <w:pStyle w:val="Listaconvietas"/>
      </w:pPr>
      <w:r>
        <w:t>Aplicación de la máscara: se utilizó numpy.where() para asignar el valor KDE_2026 en los píxeles que satisfacen ambas condiciones de forma simultánea, y el valor 0 en los demás píxeles.</w:t>
      </w:r>
    </w:p>
    <w:p w:rsidR="00CD7EAC" w:rsidRDefault="000622AA">
      <w:pPr>
        <w:pStyle w:val="Listaconvietas"/>
      </w:pPr>
      <w:r>
        <w:t>Escritura</w:t>
      </w:r>
      <w:r>
        <w:t xml:space="preserve"> del resultado: los arrays resultantes se escribieron a archivos GeoTIFF mediante el driver GDAL GTiff, conservando la geotransformación exacta y el sistema de referencia de KDE_2026 (EPSG:4326).</w:t>
      </w:r>
    </w:p>
    <w:p w:rsidR="00CD7EAC" w:rsidRDefault="000622AA">
      <w:r>
        <w:t>Los cuatro rásters de hotspot nuevos (KDE_NUEVO_2026_vs_YYYY</w:t>
      </w:r>
      <w:r>
        <w:t xml:space="preserve">_EneroMayo.tif) representan exclusivamente las zonas donde 2026 introduce concentración de notificaciones sin </w:t>
      </w:r>
      <w:r>
        <w:lastRenderedPageBreak/>
        <w:t>antecedente en el año base correspondiente, permitiendo cuantificar y cartografiar la expansión genuina del fenómeno en el territorio. El área apr</w:t>
      </w:r>
      <w:r>
        <w:t>oximada en km² se calculó a partir del tamaño real de celda (0,0005° ≈ 55,5 m en longitud y 55,7 m en latitud a la latitud de Bogotá), resultando en un área aproximada de 0,00309 km² por píxel.</w:t>
      </w:r>
    </w:p>
    <w:p w:rsidR="00CD7EAC" w:rsidRDefault="000622AA">
      <w:pPr>
        <w:pStyle w:val="Ttulo1"/>
      </w:pPr>
      <w:r>
        <w:t>4. Análisis de Notificaciones por Área de Influencia</w:t>
      </w:r>
    </w:p>
    <w:p w:rsidR="00CD7EAC" w:rsidRDefault="00CD7EAC"/>
    <w:p w:rsidR="00CD7EAC" w:rsidRDefault="000622AA">
      <w:r>
        <w:t>La Tabla</w:t>
      </w:r>
      <w:r>
        <w:t xml:space="preserve"> 3 presenta el conteo de notificaciones distribuidas por anillo espacial para cada año analizado. Los anillos son mutuamente excluyentes: cada notificación se asigna al anillo más interno en el que se ubica.</w:t>
      </w:r>
    </w:p>
    <w:tbl>
      <w:tblPr>
        <w:tblW w:w="0" w:type="auto"/>
        <w:jc w:val="center"/>
        <w:tblLook w:val="04A0" w:firstRow="1" w:lastRow="0" w:firstColumn="1" w:lastColumn="0" w:noHBand="0" w:noVBand="1"/>
      </w:tblPr>
      <w:tblGrid>
        <w:gridCol w:w="1568"/>
        <w:gridCol w:w="1568"/>
        <w:gridCol w:w="1568"/>
        <w:gridCol w:w="1568"/>
        <w:gridCol w:w="1568"/>
        <w:gridCol w:w="1568"/>
      </w:tblGrid>
      <w:tr w:rsidR="00CD7EAC">
        <w:trPr>
          <w:jc w:val="center"/>
        </w:trPr>
        <w:tc>
          <w:tcPr>
            <w:tcW w:w="1568"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Año</w:t>
            </w:r>
          </w:p>
        </w:tc>
        <w:tc>
          <w:tcPr>
            <w:tcW w:w="1568"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Dentro de zona</w:t>
            </w:r>
          </w:p>
        </w:tc>
        <w:tc>
          <w:tcPr>
            <w:tcW w:w="1568"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Anillo 0-250 m</w:t>
            </w:r>
          </w:p>
        </w:tc>
        <w:tc>
          <w:tcPr>
            <w:tcW w:w="1568"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Anillo 250-300</w:t>
            </w:r>
            <w:r>
              <w:rPr>
                <w:b/>
                <w:color w:val="FFFFFF"/>
                <w:sz w:val="20"/>
              </w:rPr>
              <w:t xml:space="preserve"> m</w:t>
            </w:r>
          </w:p>
        </w:tc>
        <w:tc>
          <w:tcPr>
            <w:tcW w:w="1568"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Anillo 300-500 m</w:t>
            </w:r>
          </w:p>
        </w:tc>
        <w:tc>
          <w:tcPr>
            <w:tcW w:w="1568"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Total área 500 m</w:t>
            </w:r>
          </w:p>
        </w:tc>
      </w:tr>
      <w:tr w:rsidR="00CD7EAC">
        <w:trPr>
          <w:jc w:val="center"/>
        </w:trPr>
        <w:tc>
          <w:tcPr>
            <w:tcW w:w="1568"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2022</w:t>
            </w:r>
          </w:p>
        </w:tc>
        <w:tc>
          <w:tcPr>
            <w:tcW w:w="1568"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1</w:t>
            </w:r>
          </w:p>
        </w:tc>
        <w:tc>
          <w:tcPr>
            <w:tcW w:w="1568"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0</w:t>
            </w:r>
          </w:p>
        </w:tc>
        <w:tc>
          <w:tcPr>
            <w:tcW w:w="1568"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0</w:t>
            </w:r>
          </w:p>
        </w:tc>
        <w:tc>
          <w:tcPr>
            <w:tcW w:w="1568"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2</w:t>
            </w:r>
          </w:p>
        </w:tc>
        <w:tc>
          <w:tcPr>
            <w:tcW w:w="1568"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3</w:t>
            </w:r>
          </w:p>
        </w:tc>
      </w:tr>
      <w:tr w:rsidR="00CD7EAC">
        <w:trPr>
          <w:jc w:val="center"/>
        </w:trPr>
        <w:tc>
          <w:tcPr>
            <w:tcW w:w="1568"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2023</w:t>
            </w:r>
          </w:p>
        </w:tc>
        <w:tc>
          <w:tcPr>
            <w:tcW w:w="1568"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3</w:t>
            </w:r>
          </w:p>
        </w:tc>
        <w:tc>
          <w:tcPr>
            <w:tcW w:w="1568"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2</w:t>
            </w:r>
          </w:p>
        </w:tc>
        <w:tc>
          <w:tcPr>
            <w:tcW w:w="1568"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1</w:t>
            </w:r>
          </w:p>
        </w:tc>
        <w:tc>
          <w:tcPr>
            <w:tcW w:w="1568"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1</w:t>
            </w:r>
          </w:p>
        </w:tc>
        <w:tc>
          <w:tcPr>
            <w:tcW w:w="1568"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7</w:t>
            </w:r>
          </w:p>
        </w:tc>
      </w:tr>
      <w:tr w:rsidR="00CD7EAC">
        <w:trPr>
          <w:jc w:val="center"/>
        </w:trPr>
        <w:tc>
          <w:tcPr>
            <w:tcW w:w="1568"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2024</w:t>
            </w:r>
          </w:p>
        </w:tc>
        <w:tc>
          <w:tcPr>
            <w:tcW w:w="1568"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5</w:t>
            </w:r>
          </w:p>
        </w:tc>
        <w:tc>
          <w:tcPr>
            <w:tcW w:w="1568"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8</w:t>
            </w:r>
          </w:p>
        </w:tc>
        <w:tc>
          <w:tcPr>
            <w:tcW w:w="1568"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3</w:t>
            </w:r>
          </w:p>
        </w:tc>
        <w:tc>
          <w:tcPr>
            <w:tcW w:w="1568"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5</w:t>
            </w:r>
          </w:p>
        </w:tc>
        <w:tc>
          <w:tcPr>
            <w:tcW w:w="1568"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21</w:t>
            </w:r>
          </w:p>
        </w:tc>
      </w:tr>
      <w:tr w:rsidR="00CD7EAC">
        <w:trPr>
          <w:jc w:val="center"/>
        </w:trPr>
        <w:tc>
          <w:tcPr>
            <w:tcW w:w="1568"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2025</w:t>
            </w:r>
          </w:p>
        </w:tc>
        <w:tc>
          <w:tcPr>
            <w:tcW w:w="1568"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8</w:t>
            </w:r>
          </w:p>
        </w:tc>
        <w:tc>
          <w:tcPr>
            <w:tcW w:w="1568"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10</w:t>
            </w:r>
          </w:p>
        </w:tc>
        <w:tc>
          <w:tcPr>
            <w:tcW w:w="1568"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1</w:t>
            </w:r>
          </w:p>
        </w:tc>
        <w:tc>
          <w:tcPr>
            <w:tcW w:w="1568"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5</w:t>
            </w:r>
          </w:p>
        </w:tc>
        <w:tc>
          <w:tcPr>
            <w:tcW w:w="1568"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24</w:t>
            </w:r>
          </w:p>
        </w:tc>
      </w:tr>
      <w:tr w:rsidR="00CD7EAC">
        <w:trPr>
          <w:jc w:val="center"/>
        </w:trPr>
        <w:tc>
          <w:tcPr>
            <w:tcW w:w="1568" w:type="dxa"/>
            <w:tcBorders>
              <w:top w:val="single" w:sz="4" w:space="0" w:color="CCCCCC"/>
              <w:left w:val="single" w:sz="4" w:space="0" w:color="CCCCCC"/>
              <w:bottom w:val="single" w:sz="4" w:space="0" w:color="CCCCCC"/>
              <w:right w:val="single" w:sz="4" w:space="0" w:color="CCCCCC"/>
            </w:tcBorders>
            <w:shd w:val="clear" w:color="auto" w:fill="FFF2CC"/>
          </w:tcPr>
          <w:p w:rsidR="00CD7EAC" w:rsidRDefault="000622AA">
            <w:pPr>
              <w:jc w:val="center"/>
            </w:pPr>
            <w:r>
              <w:rPr>
                <w:b/>
                <w:sz w:val="20"/>
              </w:rPr>
              <w:t>2026</w:t>
            </w:r>
          </w:p>
        </w:tc>
        <w:tc>
          <w:tcPr>
            <w:tcW w:w="1568" w:type="dxa"/>
            <w:tcBorders>
              <w:top w:val="single" w:sz="4" w:space="0" w:color="CCCCCC"/>
              <w:left w:val="single" w:sz="4" w:space="0" w:color="CCCCCC"/>
              <w:bottom w:val="single" w:sz="4" w:space="0" w:color="CCCCCC"/>
              <w:right w:val="single" w:sz="4" w:space="0" w:color="CCCCCC"/>
            </w:tcBorders>
            <w:shd w:val="clear" w:color="auto" w:fill="FFF2CC"/>
          </w:tcPr>
          <w:p w:rsidR="00CD7EAC" w:rsidRDefault="000622AA">
            <w:pPr>
              <w:jc w:val="center"/>
            </w:pPr>
            <w:r>
              <w:rPr>
                <w:b/>
                <w:sz w:val="20"/>
              </w:rPr>
              <w:t>11</w:t>
            </w:r>
          </w:p>
        </w:tc>
        <w:tc>
          <w:tcPr>
            <w:tcW w:w="1568" w:type="dxa"/>
            <w:tcBorders>
              <w:top w:val="single" w:sz="4" w:space="0" w:color="CCCCCC"/>
              <w:left w:val="single" w:sz="4" w:space="0" w:color="CCCCCC"/>
              <w:bottom w:val="single" w:sz="4" w:space="0" w:color="CCCCCC"/>
              <w:right w:val="single" w:sz="4" w:space="0" w:color="CCCCCC"/>
            </w:tcBorders>
            <w:shd w:val="clear" w:color="auto" w:fill="FFF2CC"/>
          </w:tcPr>
          <w:p w:rsidR="00CD7EAC" w:rsidRDefault="000622AA">
            <w:pPr>
              <w:jc w:val="center"/>
            </w:pPr>
            <w:r>
              <w:rPr>
                <w:b/>
                <w:sz w:val="20"/>
              </w:rPr>
              <w:t>13</w:t>
            </w:r>
          </w:p>
        </w:tc>
        <w:tc>
          <w:tcPr>
            <w:tcW w:w="1568" w:type="dxa"/>
            <w:tcBorders>
              <w:top w:val="single" w:sz="4" w:space="0" w:color="CCCCCC"/>
              <w:left w:val="single" w:sz="4" w:space="0" w:color="CCCCCC"/>
              <w:bottom w:val="single" w:sz="4" w:space="0" w:color="CCCCCC"/>
              <w:right w:val="single" w:sz="4" w:space="0" w:color="CCCCCC"/>
            </w:tcBorders>
            <w:shd w:val="clear" w:color="auto" w:fill="FFF2CC"/>
          </w:tcPr>
          <w:p w:rsidR="00CD7EAC" w:rsidRDefault="000622AA">
            <w:pPr>
              <w:jc w:val="center"/>
            </w:pPr>
            <w:r>
              <w:rPr>
                <w:b/>
                <w:sz w:val="20"/>
              </w:rPr>
              <w:t>2</w:t>
            </w:r>
          </w:p>
        </w:tc>
        <w:tc>
          <w:tcPr>
            <w:tcW w:w="1568" w:type="dxa"/>
            <w:tcBorders>
              <w:top w:val="single" w:sz="4" w:space="0" w:color="CCCCCC"/>
              <w:left w:val="single" w:sz="4" w:space="0" w:color="CCCCCC"/>
              <w:bottom w:val="single" w:sz="4" w:space="0" w:color="CCCCCC"/>
              <w:right w:val="single" w:sz="4" w:space="0" w:color="CCCCCC"/>
            </w:tcBorders>
            <w:shd w:val="clear" w:color="auto" w:fill="FFF2CC"/>
          </w:tcPr>
          <w:p w:rsidR="00CD7EAC" w:rsidRDefault="000622AA">
            <w:pPr>
              <w:jc w:val="center"/>
            </w:pPr>
            <w:r>
              <w:rPr>
                <w:b/>
                <w:sz w:val="20"/>
              </w:rPr>
              <w:t>11</w:t>
            </w:r>
          </w:p>
        </w:tc>
        <w:tc>
          <w:tcPr>
            <w:tcW w:w="1568" w:type="dxa"/>
            <w:tcBorders>
              <w:top w:val="single" w:sz="4" w:space="0" w:color="CCCCCC"/>
              <w:left w:val="single" w:sz="4" w:space="0" w:color="CCCCCC"/>
              <w:bottom w:val="single" w:sz="4" w:space="0" w:color="CCCCCC"/>
              <w:right w:val="single" w:sz="4" w:space="0" w:color="CCCCCC"/>
            </w:tcBorders>
            <w:shd w:val="clear" w:color="auto" w:fill="FFF2CC"/>
          </w:tcPr>
          <w:p w:rsidR="00CD7EAC" w:rsidRDefault="000622AA">
            <w:pPr>
              <w:jc w:val="center"/>
            </w:pPr>
            <w:r>
              <w:rPr>
                <w:b/>
                <w:sz w:val="20"/>
              </w:rPr>
              <w:t>37</w:t>
            </w:r>
          </w:p>
        </w:tc>
      </w:tr>
      <w:tr w:rsidR="00CD7EAC">
        <w:trPr>
          <w:jc w:val="center"/>
        </w:trPr>
        <w:tc>
          <w:tcPr>
            <w:tcW w:w="1568" w:type="dxa"/>
            <w:tcBorders>
              <w:top w:val="single" w:sz="4" w:space="0" w:color="CCCCCC"/>
              <w:left w:val="single" w:sz="4" w:space="0" w:color="CCCCCC"/>
              <w:bottom w:val="single" w:sz="4" w:space="0" w:color="CCCCCC"/>
              <w:right w:val="single" w:sz="4" w:space="0" w:color="CCCCCC"/>
            </w:tcBorders>
            <w:shd w:val="clear" w:color="auto" w:fill="D5E8F0"/>
          </w:tcPr>
          <w:p w:rsidR="00CD7EAC" w:rsidRDefault="000622AA">
            <w:pPr>
              <w:jc w:val="center"/>
            </w:pPr>
            <w:r>
              <w:rPr>
                <w:b/>
                <w:sz w:val="20"/>
              </w:rPr>
              <w:t>TOTAL</w:t>
            </w:r>
          </w:p>
        </w:tc>
        <w:tc>
          <w:tcPr>
            <w:tcW w:w="1568" w:type="dxa"/>
            <w:tcBorders>
              <w:top w:val="single" w:sz="4" w:space="0" w:color="CCCCCC"/>
              <w:left w:val="single" w:sz="4" w:space="0" w:color="CCCCCC"/>
              <w:bottom w:val="single" w:sz="4" w:space="0" w:color="CCCCCC"/>
              <w:right w:val="single" w:sz="4" w:space="0" w:color="CCCCCC"/>
            </w:tcBorders>
            <w:shd w:val="clear" w:color="auto" w:fill="D5E8F0"/>
          </w:tcPr>
          <w:p w:rsidR="00CD7EAC" w:rsidRDefault="000622AA">
            <w:pPr>
              <w:jc w:val="center"/>
            </w:pPr>
            <w:r>
              <w:rPr>
                <w:b/>
                <w:sz w:val="20"/>
              </w:rPr>
              <w:t>28</w:t>
            </w:r>
          </w:p>
        </w:tc>
        <w:tc>
          <w:tcPr>
            <w:tcW w:w="1568" w:type="dxa"/>
            <w:tcBorders>
              <w:top w:val="single" w:sz="4" w:space="0" w:color="CCCCCC"/>
              <w:left w:val="single" w:sz="4" w:space="0" w:color="CCCCCC"/>
              <w:bottom w:val="single" w:sz="4" w:space="0" w:color="CCCCCC"/>
              <w:right w:val="single" w:sz="4" w:space="0" w:color="CCCCCC"/>
            </w:tcBorders>
            <w:shd w:val="clear" w:color="auto" w:fill="D5E8F0"/>
          </w:tcPr>
          <w:p w:rsidR="00CD7EAC" w:rsidRDefault="000622AA">
            <w:pPr>
              <w:jc w:val="center"/>
            </w:pPr>
            <w:r>
              <w:rPr>
                <w:b/>
                <w:sz w:val="20"/>
              </w:rPr>
              <w:t>33</w:t>
            </w:r>
          </w:p>
        </w:tc>
        <w:tc>
          <w:tcPr>
            <w:tcW w:w="1568" w:type="dxa"/>
            <w:tcBorders>
              <w:top w:val="single" w:sz="4" w:space="0" w:color="CCCCCC"/>
              <w:left w:val="single" w:sz="4" w:space="0" w:color="CCCCCC"/>
              <w:bottom w:val="single" w:sz="4" w:space="0" w:color="CCCCCC"/>
              <w:right w:val="single" w:sz="4" w:space="0" w:color="CCCCCC"/>
            </w:tcBorders>
            <w:shd w:val="clear" w:color="auto" w:fill="D5E8F0"/>
          </w:tcPr>
          <w:p w:rsidR="00CD7EAC" w:rsidRDefault="000622AA">
            <w:pPr>
              <w:jc w:val="center"/>
            </w:pPr>
            <w:r>
              <w:rPr>
                <w:b/>
                <w:sz w:val="20"/>
              </w:rPr>
              <w:t>7</w:t>
            </w:r>
          </w:p>
        </w:tc>
        <w:tc>
          <w:tcPr>
            <w:tcW w:w="1568" w:type="dxa"/>
            <w:tcBorders>
              <w:top w:val="single" w:sz="4" w:space="0" w:color="CCCCCC"/>
              <w:left w:val="single" w:sz="4" w:space="0" w:color="CCCCCC"/>
              <w:bottom w:val="single" w:sz="4" w:space="0" w:color="CCCCCC"/>
              <w:right w:val="single" w:sz="4" w:space="0" w:color="CCCCCC"/>
            </w:tcBorders>
            <w:shd w:val="clear" w:color="auto" w:fill="D5E8F0"/>
          </w:tcPr>
          <w:p w:rsidR="00CD7EAC" w:rsidRDefault="000622AA">
            <w:pPr>
              <w:jc w:val="center"/>
            </w:pPr>
            <w:r>
              <w:rPr>
                <w:b/>
                <w:sz w:val="20"/>
              </w:rPr>
              <w:t>24</w:t>
            </w:r>
          </w:p>
        </w:tc>
        <w:tc>
          <w:tcPr>
            <w:tcW w:w="1568" w:type="dxa"/>
            <w:tcBorders>
              <w:top w:val="single" w:sz="4" w:space="0" w:color="CCCCCC"/>
              <w:left w:val="single" w:sz="4" w:space="0" w:color="CCCCCC"/>
              <w:bottom w:val="single" w:sz="4" w:space="0" w:color="CCCCCC"/>
              <w:right w:val="single" w:sz="4" w:space="0" w:color="CCCCCC"/>
            </w:tcBorders>
            <w:shd w:val="clear" w:color="auto" w:fill="D5E8F0"/>
          </w:tcPr>
          <w:p w:rsidR="00CD7EAC" w:rsidRDefault="000622AA">
            <w:pPr>
              <w:jc w:val="center"/>
            </w:pPr>
            <w:r>
              <w:rPr>
                <w:b/>
                <w:sz w:val="20"/>
              </w:rPr>
              <w:t>92</w:t>
            </w:r>
          </w:p>
        </w:tc>
      </w:tr>
    </w:tbl>
    <w:p w:rsidR="00CD7EAC" w:rsidRDefault="000622AA">
      <w:r>
        <w:rPr>
          <w:i/>
          <w:sz w:val="18"/>
        </w:rPr>
        <w:t xml:space="preserve">Tabla 3. Notificaciones de ruido por rumba dentro de las zonas focalizadas y sus áreas de influencia, Bogotá </w:t>
      </w:r>
      <w:r>
        <w:rPr>
          <w:i/>
          <w:sz w:val="18"/>
        </w:rPr>
        <w:t>D.C. (Enero–Mayo, 2022–2026). Amarillo = año de vigencia de las zonas (2026).</w:t>
      </w:r>
    </w:p>
    <w:p w:rsidR="00CD7EAC" w:rsidRDefault="00CD7EAC"/>
    <w:p w:rsidR="00CD7EAC" w:rsidRDefault="000622AA">
      <w:r>
        <w:t>Los datos evidencian una tendencia sostenida de crecimiento en todos los anillos. En 2026 —año de vigencia de las zonas— se registró el mayor número de notificaciones en todos l</w:t>
      </w:r>
      <w:r>
        <w:t>os estratos espaciales analizados. Las notificaciones dentro de la zona de rumba se multiplicaron por 11 entre 2022 y 2026, mientras que el total en el área de 500 m creció 12,3 veces en el mismo período.</w:t>
      </w:r>
    </w:p>
    <w:p w:rsidR="00CD7EAC" w:rsidRDefault="000622AA">
      <w:pPr>
        <w:pStyle w:val="Ttulo2"/>
      </w:pPr>
      <w:r>
        <w:t>4.1 Variación porcentual 2022–2026</w:t>
      </w:r>
    </w:p>
    <w:p w:rsidR="00CD7EAC" w:rsidRDefault="00CD7EAC"/>
    <w:p w:rsidR="00CD7EAC" w:rsidRDefault="000622AA">
      <w:r>
        <w:t xml:space="preserve">La siguiente </w:t>
      </w:r>
      <w:r>
        <w:t>tabla muestra la variación porcentual de notificaciones entre 2022 (año base) y 2026 (año de vigencia) por cada anillo espacial:</w:t>
      </w:r>
    </w:p>
    <w:tbl>
      <w:tblPr>
        <w:tblW w:w="0" w:type="auto"/>
        <w:jc w:val="center"/>
        <w:tblLook w:val="04A0" w:firstRow="1" w:lastRow="0" w:firstColumn="1" w:lastColumn="0" w:noHBand="0" w:noVBand="1"/>
      </w:tblPr>
      <w:tblGrid>
        <w:gridCol w:w="1881"/>
        <w:gridCol w:w="1881"/>
        <w:gridCol w:w="1881"/>
        <w:gridCol w:w="1881"/>
        <w:gridCol w:w="1881"/>
      </w:tblGrid>
      <w:tr w:rsidR="00CD7EAC">
        <w:trPr>
          <w:jc w:val="center"/>
        </w:trPr>
        <w:tc>
          <w:tcPr>
            <w:tcW w:w="1881"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Área</w:t>
            </w:r>
          </w:p>
        </w:tc>
        <w:tc>
          <w:tcPr>
            <w:tcW w:w="1881"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Notif. 2022</w:t>
            </w:r>
          </w:p>
        </w:tc>
        <w:tc>
          <w:tcPr>
            <w:tcW w:w="1881"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Notif. 2026</w:t>
            </w:r>
          </w:p>
        </w:tc>
        <w:tc>
          <w:tcPr>
            <w:tcW w:w="1881"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Variación absoluta</w:t>
            </w:r>
          </w:p>
        </w:tc>
        <w:tc>
          <w:tcPr>
            <w:tcW w:w="1881"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Variación %</w:t>
            </w:r>
          </w:p>
        </w:tc>
      </w:tr>
      <w:tr w:rsidR="00CD7EAC">
        <w:trPr>
          <w:jc w:val="center"/>
        </w:trPr>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Zona de rumba</w:t>
            </w:r>
          </w:p>
        </w:tc>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1</w:t>
            </w:r>
          </w:p>
        </w:tc>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11</w:t>
            </w:r>
          </w:p>
        </w:tc>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+10</w:t>
            </w:r>
          </w:p>
        </w:tc>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+1.000%</w:t>
            </w:r>
          </w:p>
        </w:tc>
      </w:tr>
      <w:tr w:rsidR="00CD7EAC">
        <w:trPr>
          <w:jc w:val="center"/>
        </w:trPr>
        <w:tc>
          <w:tcPr>
            <w:tcW w:w="188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lastRenderedPageBreak/>
              <w:t>Anillo 0–250 m</w:t>
            </w:r>
          </w:p>
        </w:tc>
        <w:tc>
          <w:tcPr>
            <w:tcW w:w="188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0</w:t>
            </w:r>
          </w:p>
        </w:tc>
        <w:tc>
          <w:tcPr>
            <w:tcW w:w="188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13</w:t>
            </w:r>
          </w:p>
        </w:tc>
        <w:tc>
          <w:tcPr>
            <w:tcW w:w="188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+13</w:t>
            </w:r>
          </w:p>
        </w:tc>
        <w:tc>
          <w:tcPr>
            <w:tcW w:w="188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 xml:space="preserve">N/A </w:t>
            </w:r>
            <w:r>
              <w:rPr>
                <w:sz w:val="20"/>
              </w:rPr>
              <w:t>(base=0)</w:t>
            </w:r>
          </w:p>
        </w:tc>
      </w:tr>
      <w:tr w:rsidR="00CD7EAC">
        <w:trPr>
          <w:jc w:val="center"/>
        </w:trPr>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Anillo 250–300 m</w:t>
            </w:r>
          </w:p>
        </w:tc>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0</w:t>
            </w:r>
          </w:p>
        </w:tc>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2</w:t>
            </w:r>
          </w:p>
        </w:tc>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+2</w:t>
            </w:r>
          </w:p>
        </w:tc>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N/A (base=0)</w:t>
            </w:r>
          </w:p>
        </w:tc>
      </w:tr>
      <w:tr w:rsidR="00CD7EAC">
        <w:trPr>
          <w:jc w:val="center"/>
        </w:trPr>
        <w:tc>
          <w:tcPr>
            <w:tcW w:w="188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Anillo 300–500 m</w:t>
            </w:r>
          </w:p>
        </w:tc>
        <w:tc>
          <w:tcPr>
            <w:tcW w:w="188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2</w:t>
            </w:r>
          </w:p>
        </w:tc>
        <w:tc>
          <w:tcPr>
            <w:tcW w:w="188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11</w:t>
            </w:r>
          </w:p>
        </w:tc>
        <w:tc>
          <w:tcPr>
            <w:tcW w:w="188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+9</w:t>
            </w:r>
          </w:p>
        </w:tc>
        <w:tc>
          <w:tcPr>
            <w:tcW w:w="188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+450%</w:t>
            </w:r>
          </w:p>
        </w:tc>
      </w:tr>
      <w:tr w:rsidR="00CD7EAC">
        <w:trPr>
          <w:jc w:val="center"/>
        </w:trPr>
        <w:tc>
          <w:tcPr>
            <w:tcW w:w="1881" w:type="dxa"/>
            <w:tcBorders>
              <w:top w:val="single" w:sz="4" w:space="0" w:color="CCCCCC"/>
              <w:left w:val="single" w:sz="4" w:space="0" w:color="CCCCCC"/>
              <w:bottom w:val="single" w:sz="4" w:space="0" w:color="CCCCCC"/>
              <w:right w:val="single" w:sz="4" w:space="0" w:color="CCCCCC"/>
            </w:tcBorders>
            <w:shd w:val="clear" w:color="auto" w:fill="D5E8F0"/>
          </w:tcPr>
          <w:p w:rsidR="00CD7EAC" w:rsidRDefault="000622AA">
            <w:pPr>
              <w:jc w:val="center"/>
            </w:pPr>
            <w:r>
              <w:rPr>
                <w:b/>
                <w:sz w:val="20"/>
              </w:rPr>
              <w:t>TOTAL área 500 m</w:t>
            </w:r>
          </w:p>
        </w:tc>
        <w:tc>
          <w:tcPr>
            <w:tcW w:w="1881" w:type="dxa"/>
            <w:tcBorders>
              <w:top w:val="single" w:sz="4" w:space="0" w:color="CCCCCC"/>
              <w:left w:val="single" w:sz="4" w:space="0" w:color="CCCCCC"/>
              <w:bottom w:val="single" w:sz="4" w:space="0" w:color="CCCCCC"/>
              <w:right w:val="single" w:sz="4" w:space="0" w:color="CCCCCC"/>
            </w:tcBorders>
            <w:shd w:val="clear" w:color="auto" w:fill="D5E8F0"/>
          </w:tcPr>
          <w:p w:rsidR="00CD7EAC" w:rsidRDefault="000622AA">
            <w:pPr>
              <w:jc w:val="center"/>
            </w:pPr>
            <w:r>
              <w:rPr>
                <w:b/>
                <w:sz w:val="20"/>
              </w:rPr>
              <w:t>3</w:t>
            </w:r>
          </w:p>
        </w:tc>
        <w:tc>
          <w:tcPr>
            <w:tcW w:w="1881" w:type="dxa"/>
            <w:tcBorders>
              <w:top w:val="single" w:sz="4" w:space="0" w:color="CCCCCC"/>
              <w:left w:val="single" w:sz="4" w:space="0" w:color="CCCCCC"/>
              <w:bottom w:val="single" w:sz="4" w:space="0" w:color="CCCCCC"/>
              <w:right w:val="single" w:sz="4" w:space="0" w:color="CCCCCC"/>
            </w:tcBorders>
            <w:shd w:val="clear" w:color="auto" w:fill="D5E8F0"/>
          </w:tcPr>
          <w:p w:rsidR="00CD7EAC" w:rsidRDefault="000622AA">
            <w:pPr>
              <w:jc w:val="center"/>
            </w:pPr>
            <w:r>
              <w:rPr>
                <w:b/>
                <w:sz w:val="20"/>
              </w:rPr>
              <w:t>37</w:t>
            </w:r>
          </w:p>
        </w:tc>
        <w:tc>
          <w:tcPr>
            <w:tcW w:w="1881" w:type="dxa"/>
            <w:tcBorders>
              <w:top w:val="single" w:sz="4" w:space="0" w:color="CCCCCC"/>
              <w:left w:val="single" w:sz="4" w:space="0" w:color="CCCCCC"/>
              <w:bottom w:val="single" w:sz="4" w:space="0" w:color="CCCCCC"/>
              <w:right w:val="single" w:sz="4" w:space="0" w:color="CCCCCC"/>
            </w:tcBorders>
            <w:shd w:val="clear" w:color="auto" w:fill="D5E8F0"/>
          </w:tcPr>
          <w:p w:rsidR="00CD7EAC" w:rsidRDefault="000622AA">
            <w:pPr>
              <w:jc w:val="center"/>
            </w:pPr>
            <w:r>
              <w:rPr>
                <w:b/>
                <w:sz w:val="20"/>
              </w:rPr>
              <w:t>+34</w:t>
            </w:r>
          </w:p>
        </w:tc>
        <w:tc>
          <w:tcPr>
            <w:tcW w:w="1881" w:type="dxa"/>
            <w:tcBorders>
              <w:top w:val="single" w:sz="4" w:space="0" w:color="CCCCCC"/>
              <w:left w:val="single" w:sz="4" w:space="0" w:color="CCCCCC"/>
              <w:bottom w:val="single" w:sz="4" w:space="0" w:color="CCCCCC"/>
              <w:right w:val="single" w:sz="4" w:space="0" w:color="CCCCCC"/>
            </w:tcBorders>
            <w:shd w:val="clear" w:color="auto" w:fill="D5E8F0"/>
          </w:tcPr>
          <w:p w:rsidR="00CD7EAC" w:rsidRDefault="000622AA">
            <w:pPr>
              <w:jc w:val="center"/>
            </w:pPr>
            <w:r>
              <w:rPr>
                <w:b/>
                <w:sz w:val="20"/>
              </w:rPr>
              <w:t>+1.133%</w:t>
            </w:r>
          </w:p>
        </w:tc>
      </w:tr>
    </w:tbl>
    <w:p w:rsidR="00CD7EAC" w:rsidRDefault="000622AA">
      <w:r>
        <w:rPr>
          <w:i/>
          <w:sz w:val="18"/>
        </w:rPr>
        <w:t>Tabla 4. Variación porcentual de notificaciones 2022 vs. 2026 por área de influencia.</w:t>
      </w:r>
    </w:p>
    <w:p w:rsidR="00CD7EAC" w:rsidRDefault="00CD7EAC"/>
    <w:p w:rsidR="00CD7EAC" w:rsidRDefault="000622AA">
      <w:pPr>
        <w:pStyle w:val="Ttulo2"/>
      </w:pPr>
      <w:r>
        <w:t xml:space="preserve">4.2 Distribución por área de influencia — Gráfica </w:t>
      </w:r>
      <w:r>
        <w:t>comparativa</w:t>
      </w:r>
    </w:p>
    <w:p w:rsidR="00CD7EAC" w:rsidRDefault="00CD7EAC"/>
    <w:p w:rsidR="00CD7EAC" w:rsidRDefault="000622AA">
      <w:pPr>
        <w:jc w:val="center"/>
      </w:pPr>
      <w:r>
        <w:rPr>
          <w:noProof/>
          <w:lang w:val="es-MX" w:eastAsia="es-MX"/>
        </w:rPr>
        <w:drawing>
          <wp:inline distT="0" distB="0" distL="0" distR="0">
            <wp:extent cx="5486400" cy="33288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1_Notificaciones_Anillo_EneroMayo.png"/>
                    <pic:cNvPicPr/>
                  </pic:nvPicPr>
                  <pic:blipFill>
                    <a:blip r:embed="rId6"/>
                    <a:stretch>
                      <a:fillRect/>
                    </a:stretch>
                  </pic:blipFill>
                  <pic:spPr>
                    <a:xfrm>
                      <a:off x="0" y="0"/>
                      <a:ext cx="5486400" cy="3328827"/>
                    </a:xfrm>
                    <a:prstGeom prst="rect">
                      <a:avLst/>
                    </a:prstGeom>
                  </pic:spPr>
                </pic:pic>
              </a:graphicData>
            </a:graphic>
          </wp:inline>
        </w:drawing>
      </w:r>
    </w:p>
    <w:p w:rsidR="00CD7EAC" w:rsidRDefault="000622AA">
      <w:r>
        <w:rPr>
          <w:i/>
          <w:sz w:val="18"/>
        </w:rPr>
        <w:t>Figura 1. Notificaciones de ruido por rumba dentro de las zonas focalizadas y sus áreas de influencia por año (Enero–Mayo, 2022–2026). Las barras están apiladas por anillo espacial. El año 2026 (★) corresponde a la entrada en vigencia de las</w:t>
      </w:r>
      <w:r>
        <w:rPr>
          <w:i/>
          <w:sz w:val="18"/>
        </w:rPr>
        <w:t xml:space="preserve"> zonas.</w:t>
      </w:r>
    </w:p>
    <w:p w:rsidR="00CD7EAC" w:rsidRDefault="00CD7EAC"/>
    <w:p w:rsidR="00CD7EAC" w:rsidRDefault="000622AA">
      <w:r>
        <w:t>La figura anterior confirma el incremento progresivo y sostenido de las notificaciones en todas las áreas analizadas. El año 2026 sobresale tanto en volumen total (37 notificaciones dentro del área de 500 m) como en notificaciones directamente den</w:t>
      </w:r>
      <w:r>
        <w:t>tro de la zona de rumba (11). El anillo 0–250 m concentra la mayor proporción de notificaciones en el entorno inmediato de las zonas (13 de 37 en 2026, equivalente al 35,1% del total).</w:t>
      </w:r>
    </w:p>
    <w:p w:rsidR="00CD7EAC" w:rsidRDefault="000622AA">
      <w:pPr>
        <w:pStyle w:val="Ttulo1"/>
      </w:pPr>
      <w:r>
        <w:lastRenderedPageBreak/>
        <w:t>5. Análisis por Tipo de Horario (Extendida vs. Estándar)</w:t>
      </w:r>
    </w:p>
    <w:p w:rsidR="00CD7EAC" w:rsidRDefault="00CD7EAC"/>
    <w:p w:rsidR="00CD7EAC" w:rsidRDefault="000622AA">
      <w:r>
        <w:t>El atributo E</w:t>
      </w:r>
      <w:r>
        <w:t>xtendida de la capa SHAPE_ZONA_RUMBA_DEFINITIVO clasifica las zonas según si cuentan con autorización de horario extendido (SI) o si operan en horario estándar (NO). Esta distinción es relevante para identificar si el tipo de regulación horaria se asocia c</w:t>
      </w:r>
      <w:r>
        <w:t>on patrones diferenciales de notificaciones de ruido.</w:t>
      </w:r>
    </w:p>
    <w:tbl>
      <w:tblPr>
        <w:tblW w:w="0" w:type="auto"/>
        <w:jc w:val="center"/>
        <w:tblLook w:val="04A0" w:firstRow="1" w:lastRow="0" w:firstColumn="1" w:lastColumn="0" w:noHBand="0" w:noVBand="1"/>
      </w:tblPr>
      <w:tblGrid>
        <w:gridCol w:w="2351"/>
        <w:gridCol w:w="2351"/>
        <w:gridCol w:w="2351"/>
        <w:gridCol w:w="2351"/>
      </w:tblGrid>
      <w:tr w:rsidR="00CD7EAC">
        <w:trPr>
          <w:jc w:val="center"/>
        </w:trPr>
        <w:tc>
          <w:tcPr>
            <w:tcW w:w="2351"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Año</w:t>
            </w:r>
          </w:p>
        </w:tc>
        <w:tc>
          <w:tcPr>
            <w:tcW w:w="2351"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Zona con horario extendido (SI)</w:t>
            </w:r>
          </w:p>
        </w:tc>
        <w:tc>
          <w:tcPr>
            <w:tcW w:w="2351"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Zona sin ext. horaria (NO)</w:t>
            </w:r>
          </w:p>
        </w:tc>
        <w:tc>
          <w:tcPr>
            <w:tcW w:w="2351"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Total en zona</w:t>
            </w:r>
          </w:p>
        </w:tc>
      </w:tr>
      <w:tr w:rsidR="00CD7EAC">
        <w:trPr>
          <w:jc w:val="center"/>
        </w:trPr>
        <w:tc>
          <w:tcPr>
            <w:tcW w:w="235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2022</w:t>
            </w:r>
          </w:p>
        </w:tc>
        <w:tc>
          <w:tcPr>
            <w:tcW w:w="235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0</w:t>
            </w:r>
          </w:p>
        </w:tc>
        <w:tc>
          <w:tcPr>
            <w:tcW w:w="235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1</w:t>
            </w:r>
          </w:p>
        </w:tc>
        <w:tc>
          <w:tcPr>
            <w:tcW w:w="235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1</w:t>
            </w:r>
          </w:p>
        </w:tc>
      </w:tr>
      <w:tr w:rsidR="00CD7EAC">
        <w:trPr>
          <w:jc w:val="center"/>
        </w:trPr>
        <w:tc>
          <w:tcPr>
            <w:tcW w:w="235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2023</w:t>
            </w:r>
          </w:p>
        </w:tc>
        <w:tc>
          <w:tcPr>
            <w:tcW w:w="235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1</w:t>
            </w:r>
          </w:p>
        </w:tc>
        <w:tc>
          <w:tcPr>
            <w:tcW w:w="235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2</w:t>
            </w:r>
          </w:p>
        </w:tc>
        <w:tc>
          <w:tcPr>
            <w:tcW w:w="235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3</w:t>
            </w:r>
          </w:p>
        </w:tc>
      </w:tr>
      <w:tr w:rsidR="00CD7EAC">
        <w:trPr>
          <w:jc w:val="center"/>
        </w:trPr>
        <w:tc>
          <w:tcPr>
            <w:tcW w:w="235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2024</w:t>
            </w:r>
          </w:p>
        </w:tc>
        <w:tc>
          <w:tcPr>
            <w:tcW w:w="235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5</w:t>
            </w:r>
          </w:p>
        </w:tc>
        <w:tc>
          <w:tcPr>
            <w:tcW w:w="235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0</w:t>
            </w:r>
          </w:p>
        </w:tc>
        <w:tc>
          <w:tcPr>
            <w:tcW w:w="235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5</w:t>
            </w:r>
          </w:p>
        </w:tc>
      </w:tr>
      <w:tr w:rsidR="00CD7EAC">
        <w:trPr>
          <w:jc w:val="center"/>
        </w:trPr>
        <w:tc>
          <w:tcPr>
            <w:tcW w:w="235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2025</w:t>
            </w:r>
          </w:p>
        </w:tc>
        <w:tc>
          <w:tcPr>
            <w:tcW w:w="235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4</w:t>
            </w:r>
          </w:p>
        </w:tc>
        <w:tc>
          <w:tcPr>
            <w:tcW w:w="235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4</w:t>
            </w:r>
          </w:p>
        </w:tc>
        <w:tc>
          <w:tcPr>
            <w:tcW w:w="235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8</w:t>
            </w:r>
          </w:p>
        </w:tc>
      </w:tr>
      <w:tr w:rsidR="00CD7EAC">
        <w:trPr>
          <w:jc w:val="center"/>
        </w:trPr>
        <w:tc>
          <w:tcPr>
            <w:tcW w:w="2351" w:type="dxa"/>
            <w:tcBorders>
              <w:top w:val="single" w:sz="4" w:space="0" w:color="CCCCCC"/>
              <w:left w:val="single" w:sz="4" w:space="0" w:color="CCCCCC"/>
              <w:bottom w:val="single" w:sz="4" w:space="0" w:color="CCCCCC"/>
              <w:right w:val="single" w:sz="4" w:space="0" w:color="CCCCCC"/>
            </w:tcBorders>
            <w:shd w:val="clear" w:color="auto" w:fill="FFF2CC"/>
          </w:tcPr>
          <w:p w:rsidR="00CD7EAC" w:rsidRDefault="000622AA">
            <w:pPr>
              <w:jc w:val="center"/>
            </w:pPr>
            <w:r>
              <w:rPr>
                <w:b/>
                <w:sz w:val="20"/>
              </w:rPr>
              <w:t>2026</w:t>
            </w:r>
          </w:p>
        </w:tc>
        <w:tc>
          <w:tcPr>
            <w:tcW w:w="2351" w:type="dxa"/>
            <w:tcBorders>
              <w:top w:val="single" w:sz="4" w:space="0" w:color="CCCCCC"/>
              <w:left w:val="single" w:sz="4" w:space="0" w:color="CCCCCC"/>
              <w:bottom w:val="single" w:sz="4" w:space="0" w:color="CCCCCC"/>
              <w:right w:val="single" w:sz="4" w:space="0" w:color="CCCCCC"/>
            </w:tcBorders>
            <w:shd w:val="clear" w:color="auto" w:fill="FFF2CC"/>
          </w:tcPr>
          <w:p w:rsidR="00CD7EAC" w:rsidRDefault="000622AA">
            <w:pPr>
              <w:jc w:val="center"/>
            </w:pPr>
            <w:r>
              <w:rPr>
                <w:b/>
                <w:sz w:val="20"/>
              </w:rPr>
              <w:t>4</w:t>
            </w:r>
          </w:p>
        </w:tc>
        <w:tc>
          <w:tcPr>
            <w:tcW w:w="2351" w:type="dxa"/>
            <w:tcBorders>
              <w:top w:val="single" w:sz="4" w:space="0" w:color="CCCCCC"/>
              <w:left w:val="single" w:sz="4" w:space="0" w:color="CCCCCC"/>
              <w:bottom w:val="single" w:sz="4" w:space="0" w:color="CCCCCC"/>
              <w:right w:val="single" w:sz="4" w:space="0" w:color="CCCCCC"/>
            </w:tcBorders>
            <w:shd w:val="clear" w:color="auto" w:fill="FFF2CC"/>
          </w:tcPr>
          <w:p w:rsidR="00CD7EAC" w:rsidRDefault="000622AA">
            <w:pPr>
              <w:jc w:val="center"/>
            </w:pPr>
            <w:r>
              <w:rPr>
                <w:b/>
                <w:sz w:val="20"/>
              </w:rPr>
              <w:t>7</w:t>
            </w:r>
          </w:p>
        </w:tc>
        <w:tc>
          <w:tcPr>
            <w:tcW w:w="2351" w:type="dxa"/>
            <w:tcBorders>
              <w:top w:val="single" w:sz="4" w:space="0" w:color="CCCCCC"/>
              <w:left w:val="single" w:sz="4" w:space="0" w:color="CCCCCC"/>
              <w:bottom w:val="single" w:sz="4" w:space="0" w:color="CCCCCC"/>
              <w:right w:val="single" w:sz="4" w:space="0" w:color="CCCCCC"/>
            </w:tcBorders>
            <w:shd w:val="clear" w:color="auto" w:fill="FFF2CC"/>
          </w:tcPr>
          <w:p w:rsidR="00CD7EAC" w:rsidRDefault="000622AA">
            <w:pPr>
              <w:jc w:val="center"/>
            </w:pPr>
            <w:r>
              <w:rPr>
                <w:b/>
                <w:sz w:val="20"/>
              </w:rPr>
              <w:t>11</w:t>
            </w:r>
          </w:p>
        </w:tc>
      </w:tr>
      <w:tr w:rsidR="00CD7EAC">
        <w:trPr>
          <w:jc w:val="center"/>
        </w:trPr>
        <w:tc>
          <w:tcPr>
            <w:tcW w:w="2351" w:type="dxa"/>
            <w:tcBorders>
              <w:top w:val="single" w:sz="4" w:space="0" w:color="CCCCCC"/>
              <w:left w:val="single" w:sz="4" w:space="0" w:color="CCCCCC"/>
              <w:bottom w:val="single" w:sz="4" w:space="0" w:color="CCCCCC"/>
              <w:right w:val="single" w:sz="4" w:space="0" w:color="CCCCCC"/>
            </w:tcBorders>
            <w:shd w:val="clear" w:color="auto" w:fill="D5E8F0"/>
          </w:tcPr>
          <w:p w:rsidR="00CD7EAC" w:rsidRDefault="000622AA">
            <w:pPr>
              <w:jc w:val="center"/>
            </w:pPr>
            <w:r>
              <w:rPr>
                <w:b/>
                <w:sz w:val="20"/>
              </w:rPr>
              <w:t>TOTAL</w:t>
            </w:r>
          </w:p>
        </w:tc>
        <w:tc>
          <w:tcPr>
            <w:tcW w:w="2351" w:type="dxa"/>
            <w:tcBorders>
              <w:top w:val="single" w:sz="4" w:space="0" w:color="CCCCCC"/>
              <w:left w:val="single" w:sz="4" w:space="0" w:color="CCCCCC"/>
              <w:bottom w:val="single" w:sz="4" w:space="0" w:color="CCCCCC"/>
              <w:right w:val="single" w:sz="4" w:space="0" w:color="CCCCCC"/>
            </w:tcBorders>
            <w:shd w:val="clear" w:color="auto" w:fill="D5E8F0"/>
          </w:tcPr>
          <w:p w:rsidR="00CD7EAC" w:rsidRDefault="000622AA">
            <w:pPr>
              <w:jc w:val="center"/>
            </w:pPr>
            <w:r>
              <w:rPr>
                <w:b/>
                <w:sz w:val="20"/>
              </w:rPr>
              <w:t>14</w:t>
            </w:r>
          </w:p>
        </w:tc>
        <w:tc>
          <w:tcPr>
            <w:tcW w:w="2351" w:type="dxa"/>
            <w:tcBorders>
              <w:top w:val="single" w:sz="4" w:space="0" w:color="CCCCCC"/>
              <w:left w:val="single" w:sz="4" w:space="0" w:color="CCCCCC"/>
              <w:bottom w:val="single" w:sz="4" w:space="0" w:color="CCCCCC"/>
              <w:right w:val="single" w:sz="4" w:space="0" w:color="CCCCCC"/>
            </w:tcBorders>
            <w:shd w:val="clear" w:color="auto" w:fill="D5E8F0"/>
          </w:tcPr>
          <w:p w:rsidR="00CD7EAC" w:rsidRDefault="000622AA">
            <w:pPr>
              <w:jc w:val="center"/>
            </w:pPr>
            <w:r>
              <w:rPr>
                <w:b/>
                <w:sz w:val="20"/>
              </w:rPr>
              <w:t>14</w:t>
            </w:r>
          </w:p>
        </w:tc>
        <w:tc>
          <w:tcPr>
            <w:tcW w:w="2351" w:type="dxa"/>
            <w:tcBorders>
              <w:top w:val="single" w:sz="4" w:space="0" w:color="CCCCCC"/>
              <w:left w:val="single" w:sz="4" w:space="0" w:color="CCCCCC"/>
              <w:bottom w:val="single" w:sz="4" w:space="0" w:color="CCCCCC"/>
              <w:right w:val="single" w:sz="4" w:space="0" w:color="CCCCCC"/>
            </w:tcBorders>
            <w:shd w:val="clear" w:color="auto" w:fill="D5E8F0"/>
          </w:tcPr>
          <w:p w:rsidR="00CD7EAC" w:rsidRDefault="000622AA">
            <w:pPr>
              <w:jc w:val="center"/>
            </w:pPr>
            <w:r>
              <w:rPr>
                <w:b/>
                <w:sz w:val="20"/>
              </w:rPr>
              <w:t>28</w:t>
            </w:r>
          </w:p>
        </w:tc>
      </w:tr>
    </w:tbl>
    <w:p w:rsidR="00CD7EAC" w:rsidRDefault="000622AA">
      <w:r>
        <w:rPr>
          <w:i/>
          <w:sz w:val="18"/>
        </w:rPr>
        <w:t xml:space="preserve">Tabla 5. Notificaciones dentro de zonas de </w:t>
      </w:r>
      <w:r>
        <w:rPr>
          <w:i/>
          <w:sz w:val="18"/>
        </w:rPr>
        <w:t>rumba por tipo de horario (Extendida SI/NO). Amarillo = año de vigencia 2026.</w:t>
      </w:r>
    </w:p>
    <w:p w:rsidR="00CD7EAC" w:rsidRDefault="00CD7EAC"/>
    <w:p w:rsidR="00CD7EAC" w:rsidRDefault="000622AA">
      <w:pPr>
        <w:jc w:val="center"/>
      </w:pPr>
      <w:r>
        <w:rPr>
          <w:noProof/>
          <w:lang w:val="es-MX" w:eastAsia="es-MX"/>
        </w:rPr>
        <w:drawing>
          <wp:inline distT="0" distB="0" distL="0" distR="0">
            <wp:extent cx="5303520" cy="30937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2_Horario_Extendido_EneroMayo.png"/>
                    <pic:cNvPicPr/>
                  </pic:nvPicPr>
                  <pic:blipFill>
                    <a:blip r:embed="rId7"/>
                    <a:stretch>
                      <a:fillRect/>
                    </a:stretch>
                  </pic:blipFill>
                  <pic:spPr>
                    <a:xfrm>
                      <a:off x="0" y="0"/>
                      <a:ext cx="5303520" cy="3093720"/>
                    </a:xfrm>
                    <a:prstGeom prst="rect">
                      <a:avLst/>
                    </a:prstGeom>
                  </pic:spPr>
                </pic:pic>
              </a:graphicData>
            </a:graphic>
          </wp:inline>
        </w:drawing>
      </w:r>
    </w:p>
    <w:p w:rsidR="00CD7EAC" w:rsidRDefault="000622AA">
      <w:r>
        <w:rPr>
          <w:i/>
          <w:sz w:val="18"/>
        </w:rPr>
        <w:t>Figura 2. Comparación de notificaciones en zonas con horario extendido (SI) vs. sin extensión horaria (NO) por año.</w:t>
      </w:r>
    </w:p>
    <w:p w:rsidR="00CD7EAC" w:rsidRDefault="00CD7EAC"/>
    <w:p w:rsidR="00CD7EAC" w:rsidRDefault="000622AA">
      <w:r>
        <w:lastRenderedPageBreak/>
        <w:t xml:space="preserve">En 2026, las zonas sin horario extendido registraron más </w:t>
      </w:r>
      <w:r>
        <w:t>notificaciones dentro de zona (7) que las zonas con horario extendido (4). Este resultado, en línea con lo observado en cortes anteriores, puede estar asociado a que las zonas sin extensión horaria incluyen zonas de alta densidad de establecimientos como G</w:t>
      </w:r>
      <w:r>
        <w:t>alerías, 1 de Mayo y Normandía, que concentran una parte significativa de las notificaciones dentro de zona en 2026. Se recomienda profundizar en el análisis cualitativo de estas zonas específicas.</w:t>
      </w:r>
    </w:p>
    <w:p w:rsidR="00CD7EAC" w:rsidRDefault="000622AA">
      <w:pPr>
        <w:pStyle w:val="Ttulo1"/>
      </w:pPr>
      <w:r>
        <w:t>6. Superficies KDE Individuales por Año</w:t>
      </w:r>
    </w:p>
    <w:p w:rsidR="00CD7EAC" w:rsidRDefault="00CD7EAC"/>
    <w:p w:rsidR="00CD7EAC" w:rsidRDefault="000622AA">
      <w:r>
        <w:t>Las cinco superfi</w:t>
      </w:r>
      <w:r>
        <w:t>cies de Estimación de Densidad Kernel (KDE) calculadas con parámetros idénticos permiten una comparación espacial directa de la intensidad de notificaciones de ruido por rumba a lo largo del tiempo. La Figura 3 presenta los cinco mapas en un panel comparat</w:t>
      </w:r>
      <w:r>
        <w:t>ivo, donde el gradiente de color (amarillo → rojo oscuro) indica mayor densidad de notificaciones.</w:t>
      </w:r>
    </w:p>
    <w:tbl>
      <w:tblPr>
        <w:tblW w:w="0" w:type="auto"/>
        <w:jc w:val="center"/>
        <w:tblLook w:val="04A0" w:firstRow="1" w:lastRow="0" w:firstColumn="1" w:lastColumn="0" w:noHBand="0" w:noVBand="1"/>
      </w:tblPr>
      <w:tblGrid>
        <w:gridCol w:w="2351"/>
        <w:gridCol w:w="2351"/>
        <w:gridCol w:w="2351"/>
        <w:gridCol w:w="2351"/>
      </w:tblGrid>
      <w:tr w:rsidR="00CD7EAC">
        <w:trPr>
          <w:jc w:val="center"/>
        </w:trPr>
        <w:tc>
          <w:tcPr>
            <w:tcW w:w="2351"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Año</w:t>
            </w:r>
          </w:p>
        </w:tc>
        <w:tc>
          <w:tcPr>
            <w:tcW w:w="2351"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Notif. en área</w:t>
            </w:r>
          </w:p>
        </w:tc>
        <w:tc>
          <w:tcPr>
            <w:tcW w:w="2351"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Densidad KDE máx.</w:t>
            </w:r>
          </w:p>
        </w:tc>
        <w:tc>
          <w:tcPr>
            <w:tcW w:w="2351"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Interpretación</w:t>
            </w:r>
          </w:p>
        </w:tc>
      </w:tr>
      <w:tr w:rsidR="00CD7EAC">
        <w:trPr>
          <w:jc w:val="center"/>
        </w:trPr>
        <w:tc>
          <w:tcPr>
            <w:tcW w:w="235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2022</w:t>
            </w:r>
          </w:p>
        </w:tc>
        <w:tc>
          <w:tcPr>
            <w:tcW w:w="235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3</w:t>
            </w:r>
          </w:p>
        </w:tc>
        <w:tc>
          <w:tcPr>
            <w:tcW w:w="235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0,9939</w:t>
            </w:r>
          </w:p>
        </w:tc>
        <w:tc>
          <w:tcPr>
            <w:tcW w:w="235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r>
              <w:rPr>
                <w:sz w:val="20"/>
              </w:rPr>
              <w:t>Baja. Solo 3 notificaciones puntuales.</w:t>
            </w:r>
          </w:p>
        </w:tc>
      </w:tr>
      <w:tr w:rsidR="00CD7EAC">
        <w:trPr>
          <w:jc w:val="center"/>
        </w:trPr>
        <w:tc>
          <w:tcPr>
            <w:tcW w:w="235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2023</w:t>
            </w:r>
          </w:p>
        </w:tc>
        <w:tc>
          <w:tcPr>
            <w:tcW w:w="235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7</w:t>
            </w:r>
          </w:p>
        </w:tc>
        <w:tc>
          <w:tcPr>
            <w:tcW w:w="235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0,9971</w:t>
            </w:r>
          </w:p>
        </w:tc>
        <w:tc>
          <w:tcPr>
            <w:tcW w:w="235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r>
              <w:rPr>
                <w:sz w:val="20"/>
              </w:rPr>
              <w:t xml:space="preserve">Baja. Distribución dispersa, sin </w:t>
            </w:r>
            <w:r>
              <w:rPr>
                <w:sz w:val="20"/>
              </w:rPr>
              <w:t>núcleos claros.</w:t>
            </w:r>
          </w:p>
        </w:tc>
      </w:tr>
      <w:tr w:rsidR="00CD7EAC">
        <w:trPr>
          <w:jc w:val="center"/>
        </w:trPr>
        <w:tc>
          <w:tcPr>
            <w:tcW w:w="235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2024</w:t>
            </w:r>
          </w:p>
        </w:tc>
        <w:tc>
          <w:tcPr>
            <w:tcW w:w="235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21</w:t>
            </w:r>
          </w:p>
        </w:tc>
        <w:tc>
          <w:tcPr>
            <w:tcW w:w="235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3,8512</w:t>
            </w:r>
          </w:p>
        </w:tc>
        <w:tc>
          <w:tcPr>
            <w:tcW w:w="235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r>
              <w:rPr>
                <w:sz w:val="20"/>
              </w:rPr>
              <w:t>Media-alta. Aparecen núcleos en Chapinero y Fontibón.</w:t>
            </w:r>
          </w:p>
        </w:tc>
      </w:tr>
      <w:tr w:rsidR="00CD7EAC">
        <w:trPr>
          <w:jc w:val="center"/>
        </w:trPr>
        <w:tc>
          <w:tcPr>
            <w:tcW w:w="235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2025</w:t>
            </w:r>
          </w:p>
        </w:tc>
        <w:tc>
          <w:tcPr>
            <w:tcW w:w="235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24</w:t>
            </w:r>
          </w:p>
        </w:tc>
        <w:tc>
          <w:tcPr>
            <w:tcW w:w="235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2,8302</w:t>
            </w:r>
          </w:p>
        </w:tc>
        <w:tc>
          <w:tcPr>
            <w:tcW w:w="235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r>
              <w:rPr>
                <w:sz w:val="20"/>
              </w:rPr>
              <w:t>Media. Concentración similar a 2024, distinta distribución espacial.</w:t>
            </w:r>
          </w:p>
        </w:tc>
      </w:tr>
      <w:tr w:rsidR="00CD7EAC">
        <w:trPr>
          <w:jc w:val="center"/>
        </w:trPr>
        <w:tc>
          <w:tcPr>
            <w:tcW w:w="2351" w:type="dxa"/>
            <w:tcBorders>
              <w:top w:val="single" w:sz="4" w:space="0" w:color="CCCCCC"/>
              <w:left w:val="single" w:sz="4" w:space="0" w:color="CCCCCC"/>
              <w:bottom w:val="single" w:sz="4" w:space="0" w:color="CCCCCC"/>
              <w:right w:val="single" w:sz="4" w:space="0" w:color="CCCCCC"/>
            </w:tcBorders>
            <w:shd w:val="clear" w:color="auto" w:fill="FFF2CC"/>
          </w:tcPr>
          <w:p w:rsidR="00CD7EAC" w:rsidRDefault="000622AA">
            <w:pPr>
              <w:jc w:val="center"/>
            </w:pPr>
            <w:r>
              <w:rPr>
                <w:b/>
                <w:sz w:val="20"/>
              </w:rPr>
              <w:t>2026</w:t>
            </w:r>
          </w:p>
        </w:tc>
        <w:tc>
          <w:tcPr>
            <w:tcW w:w="2351" w:type="dxa"/>
            <w:tcBorders>
              <w:top w:val="single" w:sz="4" w:space="0" w:color="CCCCCC"/>
              <w:left w:val="single" w:sz="4" w:space="0" w:color="CCCCCC"/>
              <w:bottom w:val="single" w:sz="4" w:space="0" w:color="CCCCCC"/>
              <w:right w:val="single" w:sz="4" w:space="0" w:color="CCCCCC"/>
            </w:tcBorders>
            <w:shd w:val="clear" w:color="auto" w:fill="FFF2CC"/>
          </w:tcPr>
          <w:p w:rsidR="00CD7EAC" w:rsidRDefault="000622AA">
            <w:pPr>
              <w:jc w:val="center"/>
            </w:pPr>
            <w:r>
              <w:rPr>
                <w:b/>
                <w:sz w:val="20"/>
              </w:rPr>
              <w:t>37</w:t>
            </w:r>
          </w:p>
        </w:tc>
        <w:tc>
          <w:tcPr>
            <w:tcW w:w="2351" w:type="dxa"/>
            <w:tcBorders>
              <w:top w:val="single" w:sz="4" w:space="0" w:color="CCCCCC"/>
              <w:left w:val="single" w:sz="4" w:space="0" w:color="CCCCCC"/>
              <w:bottom w:val="single" w:sz="4" w:space="0" w:color="CCCCCC"/>
              <w:right w:val="single" w:sz="4" w:space="0" w:color="CCCCCC"/>
            </w:tcBorders>
            <w:shd w:val="clear" w:color="auto" w:fill="FFF2CC"/>
          </w:tcPr>
          <w:p w:rsidR="00CD7EAC" w:rsidRDefault="000622AA">
            <w:pPr>
              <w:jc w:val="center"/>
            </w:pPr>
            <w:r>
              <w:rPr>
                <w:b/>
                <w:sz w:val="20"/>
              </w:rPr>
              <w:t>4,5743</w:t>
            </w:r>
          </w:p>
        </w:tc>
        <w:tc>
          <w:tcPr>
            <w:tcW w:w="2351" w:type="dxa"/>
            <w:tcBorders>
              <w:top w:val="single" w:sz="4" w:space="0" w:color="CCCCCC"/>
              <w:left w:val="single" w:sz="4" w:space="0" w:color="CCCCCC"/>
              <w:bottom w:val="single" w:sz="4" w:space="0" w:color="CCCCCC"/>
              <w:right w:val="single" w:sz="4" w:space="0" w:color="CCCCCC"/>
            </w:tcBorders>
            <w:shd w:val="clear" w:color="auto" w:fill="FFF2CC"/>
          </w:tcPr>
          <w:p w:rsidR="00CD7EAC" w:rsidRDefault="000622AA">
            <w:r>
              <w:rPr>
                <w:b/>
                <w:sz w:val="20"/>
              </w:rPr>
              <w:t>Alta. Núcleos concentrados en múltiples zonas.</w:t>
            </w:r>
          </w:p>
        </w:tc>
      </w:tr>
    </w:tbl>
    <w:p w:rsidR="00CD7EAC" w:rsidRDefault="000622AA">
      <w:r>
        <w:rPr>
          <w:i/>
          <w:sz w:val="18"/>
        </w:rPr>
        <w:t>Tabla 6. Estadísticas</w:t>
      </w:r>
      <w:r>
        <w:rPr>
          <w:i/>
          <w:sz w:val="18"/>
        </w:rPr>
        <w:t xml:space="preserve"> de los KDE individuales por año. Densidad en unidades relativas (conteos en bruto).</w:t>
      </w:r>
    </w:p>
    <w:p w:rsidR="00CD7EAC" w:rsidRDefault="00CD7EAC"/>
    <w:p w:rsidR="00CD7EAC" w:rsidRDefault="000622AA">
      <w:pPr>
        <w:jc w:val="center"/>
      </w:pPr>
      <w:r>
        <w:rPr>
          <w:noProof/>
          <w:lang w:val="es-MX" w:eastAsia="es-MX"/>
        </w:rPr>
        <w:lastRenderedPageBreak/>
        <w:drawing>
          <wp:inline distT="0" distB="0" distL="0" distR="0">
            <wp:extent cx="5760720" cy="173418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3_KDE_Individual_Panel_EneroMayo.png"/>
                    <pic:cNvPicPr/>
                  </pic:nvPicPr>
                  <pic:blipFill>
                    <a:blip r:embed="rId8"/>
                    <a:stretch>
                      <a:fillRect/>
                    </a:stretch>
                  </pic:blipFill>
                  <pic:spPr>
                    <a:xfrm>
                      <a:off x="0" y="0"/>
                      <a:ext cx="5760720" cy="1734189"/>
                    </a:xfrm>
                    <a:prstGeom prst="rect">
                      <a:avLst/>
                    </a:prstGeom>
                  </pic:spPr>
                </pic:pic>
              </a:graphicData>
            </a:graphic>
          </wp:inline>
        </w:drawing>
      </w:r>
    </w:p>
    <w:p w:rsidR="00CD7EAC" w:rsidRDefault="000622AA">
      <w:r>
        <w:rPr>
          <w:i/>
          <w:sz w:val="18"/>
        </w:rPr>
        <w:t xml:space="preserve">Figura 3. Superficies KDE individuales por año (Enero–Mayo, 2022–2026). Parámetros: bandwidth=500m, celda=50m, kernel Cuártico, EPSG:4326. Azul = límite de zonas </w:t>
      </w:r>
      <w:r>
        <w:rPr>
          <w:i/>
          <w:sz w:val="18"/>
        </w:rPr>
        <w:t>focalizadas. Puntos = notificaciones en área de influencia 500m.</w:t>
      </w:r>
    </w:p>
    <w:p w:rsidR="00CD7EAC" w:rsidRDefault="00CD7EAC"/>
    <w:p w:rsidR="00CD7EAC" w:rsidRDefault="000622AA">
      <w:r>
        <w:t>La evolución del KDE revela un patrón de concentración creciente. En 2022 y 2023 la densidad es baja, lo que indica notificaciones dispersas sin núcleos identificables. A partir de 2024 se f</w:t>
      </w:r>
      <w:r>
        <w:t>orman núcleos de densidad media-alta en zonas como Chapinero y Fontibón. En 2026, año de vigencia de las zonas, se observa la mayor densidad pico (4,57), con núcleos definidos en varias zonas del mapa.</w:t>
      </w:r>
    </w:p>
    <w:p w:rsidR="00CD7EAC" w:rsidRDefault="000622AA">
      <w:pPr>
        <w:pStyle w:val="Ttulo1"/>
      </w:pPr>
      <w:r>
        <w:t>7. KDE Diferenciales: 2026 vs. Años Base</w:t>
      </w:r>
    </w:p>
    <w:p w:rsidR="00CD7EAC" w:rsidRDefault="00CD7EAC"/>
    <w:p w:rsidR="00CD7EAC" w:rsidRDefault="000622AA">
      <w:r>
        <w:t>Los rásteres</w:t>
      </w:r>
      <w:r>
        <w:t xml:space="preserve"> KDE diferenciales (KDE_2026 − KDE_AñoBase) permiten identificar, píxel a píxel, dónde la densidad de notificaciones aumentó (valores positivos, tonos rojos) o disminuyó (valores negativos, tonos azules) respecto a cada año de referencia histórica, dentro </w:t>
      </w:r>
      <w:r>
        <w:t>del área común con datos válidos en ambas superficies.</w:t>
      </w:r>
    </w:p>
    <w:tbl>
      <w:tblPr>
        <w:tblW w:w="0" w:type="auto"/>
        <w:jc w:val="center"/>
        <w:tblLook w:val="04A0" w:firstRow="1" w:lastRow="0" w:firstColumn="1" w:lastColumn="0" w:noHBand="0" w:noVBand="1"/>
      </w:tblPr>
      <w:tblGrid>
        <w:gridCol w:w="2351"/>
        <w:gridCol w:w="2351"/>
        <w:gridCol w:w="2351"/>
        <w:gridCol w:w="2351"/>
      </w:tblGrid>
      <w:tr w:rsidR="00CD7EAC">
        <w:trPr>
          <w:jc w:val="center"/>
        </w:trPr>
        <w:tc>
          <w:tcPr>
            <w:tcW w:w="2351"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Comparación</w:t>
            </w:r>
          </w:p>
        </w:tc>
        <w:tc>
          <w:tcPr>
            <w:tcW w:w="2351"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Valor mínimo (Δ)</w:t>
            </w:r>
          </w:p>
        </w:tc>
        <w:tc>
          <w:tcPr>
            <w:tcW w:w="2351"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Valor máximo (Δ)</w:t>
            </w:r>
          </w:p>
        </w:tc>
        <w:tc>
          <w:tcPr>
            <w:tcW w:w="2351"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Interpretación</w:t>
            </w:r>
          </w:p>
        </w:tc>
      </w:tr>
      <w:tr w:rsidR="00CD7EAC">
        <w:trPr>
          <w:jc w:val="center"/>
        </w:trPr>
        <w:tc>
          <w:tcPr>
            <w:tcW w:w="235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2026 vs 2022</w:t>
            </w:r>
          </w:p>
        </w:tc>
        <w:tc>
          <w:tcPr>
            <w:tcW w:w="235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-0,45</w:t>
            </w:r>
          </w:p>
        </w:tc>
        <w:tc>
          <w:tcPr>
            <w:tcW w:w="235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3,99</w:t>
            </w:r>
          </w:p>
        </w:tc>
        <w:tc>
          <w:tcPr>
            <w:tcW w:w="235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r>
              <w:rPr>
                <w:sz w:val="20"/>
              </w:rPr>
              <w:t>Casi todo el territorio con datos válidos muestra aumento. El año 2022 tuvo muy pocas notificaciones en el área.</w:t>
            </w:r>
          </w:p>
        </w:tc>
      </w:tr>
      <w:tr w:rsidR="00CD7EAC">
        <w:trPr>
          <w:jc w:val="center"/>
        </w:trPr>
        <w:tc>
          <w:tcPr>
            <w:tcW w:w="235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2026 vs 2023</w:t>
            </w:r>
          </w:p>
        </w:tc>
        <w:tc>
          <w:tcPr>
            <w:tcW w:w="235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-0,96</w:t>
            </w:r>
          </w:p>
        </w:tc>
        <w:tc>
          <w:tcPr>
            <w:tcW w:w="235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3,64</w:t>
            </w:r>
          </w:p>
        </w:tc>
        <w:tc>
          <w:tcPr>
            <w:tcW w:w="235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r>
              <w:rPr>
                <w:sz w:val="20"/>
              </w:rPr>
              <w:t>Aumento generalizado. Algunas zonas de 2023 superan levemente a 2026.</w:t>
            </w:r>
          </w:p>
        </w:tc>
      </w:tr>
      <w:tr w:rsidR="00CD7EAC">
        <w:trPr>
          <w:jc w:val="center"/>
        </w:trPr>
        <w:tc>
          <w:tcPr>
            <w:tcW w:w="235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2026 vs 2024</w:t>
            </w:r>
          </w:p>
        </w:tc>
        <w:tc>
          <w:tcPr>
            <w:tcW w:w="235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-2,87</w:t>
            </w:r>
          </w:p>
        </w:tc>
        <w:tc>
          <w:tcPr>
            <w:tcW w:w="235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2,19</w:t>
            </w:r>
          </w:p>
        </w:tc>
        <w:tc>
          <w:tcPr>
            <w:tcW w:w="235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r>
              <w:rPr>
                <w:sz w:val="20"/>
              </w:rPr>
              <w:t xml:space="preserve">Mayor equilibrio. Algunas zonas tuvieron más actividad en 2024 </w:t>
            </w:r>
            <w:r>
              <w:rPr>
                <w:sz w:val="20"/>
              </w:rPr>
              <w:lastRenderedPageBreak/>
              <w:t>que en 2026.</w:t>
            </w:r>
          </w:p>
        </w:tc>
      </w:tr>
      <w:tr w:rsidR="00CD7EAC">
        <w:trPr>
          <w:jc w:val="center"/>
        </w:trPr>
        <w:tc>
          <w:tcPr>
            <w:tcW w:w="235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lastRenderedPageBreak/>
              <w:t>2026 vs 2025</w:t>
            </w:r>
          </w:p>
        </w:tc>
        <w:tc>
          <w:tcPr>
            <w:tcW w:w="235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-2,30</w:t>
            </w:r>
          </w:p>
        </w:tc>
        <w:tc>
          <w:tcPr>
            <w:tcW w:w="235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2,95</w:t>
            </w:r>
          </w:p>
        </w:tc>
        <w:tc>
          <w:tcPr>
            <w:tcW w:w="235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r>
              <w:rPr>
                <w:sz w:val="20"/>
              </w:rPr>
              <w:t xml:space="preserve">Patrón mixto; 2025 ya mostraba </w:t>
            </w:r>
            <w:r>
              <w:rPr>
                <w:sz w:val="20"/>
              </w:rPr>
              <w:t>densidades medias-altas en varias zonas del área.</w:t>
            </w:r>
          </w:p>
        </w:tc>
      </w:tr>
    </w:tbl>
    <w:p w:rsidR="00CD7EAC" w:rsidRDefault="000622AA">
      <w:r>
        <w:rPr>
          <w:i/>
          <w:sz w:val="18"/>
        </w:rPr>
        <w:t>Tabla 7. Estadísticas de los KDE diferenciales (KDE_2026 − KDE_AñoBase), calculadas sobre píxeles con datos válidos en ambas superficies. Rojo = mayor densidad en 2026; Azul = mayor densidad en año base.</w:t>
      </w:r>
    </w:p>
    <w:p w:rsidR="00CD7EAC" w:rsidRDefault="00CD7EAC"/>
    <w:p w:rsidR="00CD7EAC" w:rsidRDefault="000622AA">
      <w:pPr>
        <w:jc w:val="center"/>
      </w:pPr>
      <w:r>
        <w:rPr>
          <w:noProof/>
          <w:lang w:val="es-MX" w:eastAsia="es-MX"/>
        </w:rPr>
        <w:drawing>
          <wp:inline distT="0" distB="0" distL="0" distR="0">
            <wp:extent cx="5303520" cy="640283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4_KDE_Diferencial_Panel_EneroMayo.png"/>
                    <pic:cNvPicPr/>
                  </pic:nvPicPr>
                  <pic:blipFill>
                    <a:blip r:embed="rId9"/>
                    <a:stretch>
                      <a:fillRect/>
                    </a:stretch>
                  </pic:blipFill>
                  <pic:spPr>
                    <a:xfrm>
                      <a:off x="0" y="0"/>
                      <a:ext cx="5303520" cy="6402831"/>
                    </a:xfrm>
                    <a:prstGeom prst="rect">
                      <a:avLst/>
                    </a:prstGeom>
                  </pic:spPr>
                </pic:pic>
              </a:graphicData>
            </a:graphic>
          </wp:inline>
        </w:drawing>
      </w:r>
    </w:p>
    <w:p w:rsidR="00CD7EAC" w:rsidRDefault="000622AA">
      <w:r>
        <w:rPr>
          <w:i/>
          <w:sz w:val="18"/>
        </w:rPr>
        <w:lastRenderedPageBreak/>
        <w:t>Figura 4. KDE diferenciales (KDE_2026 − KDE_AñoBase) para los cuatro años de referencia. Tonos rojos = mayor densidad en 2026; tonos azules = mayor densidad en el año base. Negro = límite de zonas focalizadas de rumba.</w:t>
      </w:r>
    </w:p>
    <w:p w:rsidR="00CD7EAC" w:rsidRDefault="00CD7EAC"/>
    <w:p w:rsidR="00CD7EAC" w:rsidRDefault="000622AA">
      <w:r>
        <w:t>La comparación 2026 vs. 2022 muest</w:t>
      </w:r>
      <w:r>
        <w:t>ra el contraste más marcado, con un valor máximo de diferencia de 3,99: prácticamente todo el territorio común con datos válidos presenta valores positivos, lo cual se explica por la muy baja actividad de notificaciones en 2022 (solo 3 registros en el área</w:t>
      </w:r>
      <w:r>
        <w:t xml:space="preserve"> de 500 m). La comparación 2026 vs. 2024 presenta el valor mínimo más negativo (-2,87), lo que indica que en algunos sectores específicos la concentración de 2024 superó a la de 2026.</w:t>
      </w:r>
    </w:p>
    <w:p w:rsidR="00CD7EAC" w:rsidRDefault="000622AA">
      <w:pPr>
        <w:pStyle w:val="Ttulo1"/>
      </w:pPr>
      <w:r>
        <w:t>8. Identificación de Áreas con Densidad Nueva en 2026</w:t>
      </w:r>
    </w:p>
    <w:p w:rsidR="00CD7EAC" w:rsidRDefault="00CD7EAC"/>
    <w:p w:rsidR="00CD7EAC" w:rsidRDefault="000622AA">
      <w:r>
        <w:t xml:space="preserve">Se identificaron </w:t>
      </w:r>
      <w:r>
        <w:t>los píxeles donde la densidad de notificaciones en 2026 es completamente nueva, es decir, aquellas zonas del territorio donde KDE_2026 &gt; 0,08 Y KDE_AñoBase &lt; 0,01. Estos píxeles representan focos de actividad de ruido por rumba que no tenían precedente his</w:t>
      </w:r>
      <w:r>
        <w:t>tórico en el período enero–mayo de cada año base.</w:t>
      </w:r>
    </w:p>
    <w:tbl>
      <w:tblPr>
        <w:tblW w:w="0" w:type="auto"/>
        <w:jc w:val="center"/>
        <w:tblLook w:val="04A0" w:firstRow="1" w:lastRow="0" w:firstColumn="1" w:lastColumn="0" w:noHBand="0" w:noVBand="1"/>
      </w:tblPr>
      <w:tblGrid>
        <w:gridCol w:w="1881"/>
        <w:gridCol w:w="1881"/>
        <w:gridCol w:w="1881"/>
        <w:gridCol w:w="1881"/>
        <w:gridCol w:w="1881"/>
      </w:tblGrid>
      <w:tr w:rsidR="00CD7EAC">
        <w:trPr>
          <w:jc w:val="center"/>
        </w:trPr>
        <w:tc>
          <w:tcPr>
            <w:tcW w:w="1881"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Comparación</w:t>
            </w:r>
          </w:p>
        </w:tc>
        <w:tc>
          <w:tcPr>
            <w:tcW w:w="1881"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Píxeles nuevos</w:t>
            </w:r>
          </w:p>
        </w:tc>
        <w:tc>
          <w:tcPr>
            <w:tcW w:w="1881"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Densidad máx. nueva</w:t>
            </w:r>
          </w:p>
        </w:tc>
        <w:tc>
          <w:tcPr>
            <w:tcW w:w="1881"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Interpretación</w:t>
            </w:r>
          </w:p>
        </w:tc>
        <w:tc>
          <w:tcPr>
            <w:tcW w:w="1881"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Área aprox. (km²)</w:t>
            </w:r>
          </w:p>
        </w:tc>
      </w:tr>
      <w:tr w:rsidR="00CD7EAC">
        <w:trPr>
          <w:jc w:val="center"/>
        </w:trPr>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2026 vs 2022</w:t>
            </w:r>
          </w:p>
        </w:tc>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3.852</w:t>
            </w:r>
          </w:p>
        </w:tc>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2,75</w:t>
            </w:r>
          </w:p>
        </w:tc>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r>
              <w:rPr>
                <w:sz w:val="20"/>
              </w:rPr>
              <w:t>Muy extenso. La mayor parte del área de análisis no tenía precedente.</w:t>
            </w:r>
          </w:p>
        </w:tc>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11,89</w:t>
            </w:r>
          </w:p>
        </w:tc>
      </w:tr>
      <w:tr w:rsidR="00CD7EAC">
        <w:trPr>
          <w:jc w:val="center"/>
        </w:trPr>
        <w:tc>
          <w:tcPr>
            <w:tcW w:w="188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2026 vs 2023</w:t>
            </w:r>
          </w:p>
        </w:tc>
        <w:tc>
          <w:tcPr>
            <w:tcW w:w="188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3.332</w:t>
            </w:r>
          </w:p>
        </w:tc>
        <w:tc>
          <w:tcPr>
            <w:tcW w:w="188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2,75</w:t>
            </w:r>
          </w:p>
        </w:tc>
        <w:tc>
          <w:tcPr>
            <w:tcW w:w="188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r>
              <w:rPr>
                <w:sz w:val="20"/>
              </w:rPr>
              <w:t>Amplio. Muchos focos de 2026 son nuevos respecto a 2023.</w:t>
            </w:r>
          </w:p>
        </w:tc>
        <w:tc>
          <w:tcPr>
            <w:tcW w:w="188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10,29</w:t>
            </w:r>
          </w:p>
        </w:tc>
      </w:tr>
      <w:tr w:rsidR="00CD7EAC">
        <w:trPr>
          <w:jc w:val="center"/>
        </w:trPr>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2026 vs 2024</w:t>
            </w:r>
          </w:p>
        </w:tc>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3.109</w:t>
            </w:r>
          </w:p>
        </w:tc>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4,57</w:t>
            </w:r>
          </w:p>
        </w:tc>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r>
              <w:rPr>
                <w:sz w:val="20"/>
              </w:rPr>
              <w:t>Amplio. Varios focos de 2026 superan ampliamente a 2024.</w:t>
            </w:r>
          </w:p>
        </w:tc>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9,60</w:t>
            </w:r>
          </w:p>
        </w:tc>
      </w:tr>
      <w:tr w:rsidR="00CD7EAC">
        <w:trPr>
          <w:jc w:val="center"/>
        </w:trPr>
        <w:tc>
          <w:tcPr>
            <w:tcW w:w="188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2026 vs 2025</w:t>
            </w:r>
          </w:p>
        </w:tc>
        <w:tc>
          <w:tcPr>
            <w:tcW w:w="188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1.919</w:t>
            </w:r>
          </w:p>
        </w:tc>
        <w:tc>
          <w:tcPr>
            <w:tcW w:w="188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1,75</w:t>
            </w:r>
          </w:p>
        </w:tc>
        <w:tc>
          <w:tcPr>
            <w:tcW w:w="188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r>
              <w:rPr>
                <w:sz w:val="20"/>
              </w:rPr>
              <w:t>Menor extensión. 2025 ya mostraba actividad similar en varias zonas.</w:t>
            </w:r>
          </w:p>
        </w:tc>
        <w:tc>
          <w:tcPr>
            <w:tcW w:w="188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5,93</w:t>
            </w:r>
          </w:p>
        </w:tc>
      </w:tr>
    </w:tbl>
    <w:p w:rsidR="00CD7EAC" w:rsidRDefault="000622AA">
      <w:r>
        <w:rPr>
          <w:i/>
          <w:sz w:val="18"/>
        </w:rPr>
        <w:t xml:space="preserve">Tabla </w:t>
      </w:r>
      <w:r>
        <w:rPr>
          <w:i/>
          <w:sz w:val="18"/>
        </w:rPr>
        <w:t>8. Áreas con densidad nueva en 2026 respecto a cada año base (umbral: KDE_2026 &gt; 0,08 AND KDE_base &lt; 0,01). Área aproximada calculada con celda real de ≈0,00309 km².</w:t>
      </w:r>
    </w:p>
    <w:p w:rsidR="00CD7EAC" w:rsidRDefault="00CD7EAC"/>
    <w:p w:rsidR="00CD7EAC" w:rsidRDefault="000622AA">
      <w:pPr>
        <w:jc w:val="center"/>
      </w:pPr>
      <w:r>
        <w:rPr>
          <w:noProof/>
          <w:lang w:val="es-MX" w:eastAsia="es-MX"/>
        </w:rPr>
        <w:lastRenderedPageBreak/>
        <w:drawing>
          <wp:inline distT="0" distB="0" distL="0" distR="0">
            <wp:extent cx="5303520" cy="642661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5_Areas_Nuevas_EneroMayo.png"/>
                    <pic:cNvPicPr/>
                  </pic:nvPicPr>
                  <pic:blipFill>
                    <a:blip r:embed="rId10"/>
                    <a:stretch>
                      <a:fillRect/>
                    </a:stretch>
                  </pic:blipFill>
                  <pic:spPr>
                    <a:xfrm>
                      <a:off x="0" y="0"/>
                      <a:ext cx="5303520" cy="6426618"/>
                    </a:xfrm>
                    <a:prstGeom prst="rect">
                      <a:avLst/>
                    </a:prstGeom>
                  </pic:spPr>
                </pic:pic>
              </a:graphicData>
            </a:graphic>
          </wp:inline>
        </w:drawing>
      </w:r>
    </w:p>
    <w:p w:rsidR="00CD7EAC" w:rsidRDefault="000622AA">
      <w:r>
        <w:rPr>
          <w:i/>
          <w:sz w:val="18"/>
        </w:rPr>
        <w:t>Figura 5. Áreas donde el aumento de densidad de notificaciones en 2026 es completamente</w:t>
      </w:r>
      <w:r>
        <w:rPr>
          <w:i/>
          <w:sz w:val="18"/>
        </w:rPr>
        <w:t xml:space="preserve"> nuevo respecto a cada año de referencia. Naranja/rojo = densidad nueva; azul = zona focalizada de rumba.</w:t>
      </w:r>
    </w:p>
    <w:p w:rsidR="00CD7EAC" w:rsidRDefault="00CD7EAC"/>
    <w:p w:rsidR="00CD7EAC" w:rsidRDefault="000622AA">
      <w:r>
        <w:t>El análisis de áreas nuevas muestra que la comparación 2026 vs. 2022 genera la mayor extensión de territorio con densidad nueva (3.852 píxeles, ≈11,9</w:t>
      </w:r>
      <w:r>
        <w:t xml:space="preserve"> km²), mientras que 2026 vs. 2025 produce la menor extensión (1.919 píxeles, ≈5,9 km²). Esta disminución progresiva refleja que la actividad de notificaciones venía aumentando gradualmente, de modo que cada año base más reciente 'explica' una porción mayor</w:t>
      </w:r>
      <w:r>
        <w:t xml:space="preserve"> de la densidad observada en 2026.</w:t>
      </w:r>
    </w:p>
    <w:p w:rsidR="00CD7EAC" w:rsidRDefault="000622AA">
      <w:pPr>
        <w:pStyle w:val="Ttulo1"/>
      </w:pPr>
      <w:r>
        <w:lastRenderedPageBreak/>
        <w:t>9. Distribución Espacial 2026: KDE, Zonas y Áreas de Influencia</w:t>
      </w:r>
    </w:p>
    <w:p w:rsidR="00CD7EAC" w:rsidRDefault="00CD7EAC"/>
    <w:p w:rsidR="00CD7EAC" w:rsidRDefault="000622AA">
      <w:r>
        <w:t xml:space="preserve">El mapa de la Figura 6 integra la superficie KDE de 2026 con los límites de las 27 zonas focalizadas de rumba y los tres anillos de área de influencia (250 </w:t>
      </w:r>
      <w:r>
        <w:t>m, 300 m y 500 m), junto con la ubicación de cada notificación registrada en enero–mayo de 2026. Los puntos rojos corresponden a notificaciones directamente dentro de una zona de rumba; los puntos azules, a notificaciones en el área de influencia.</w:t>
      </w:r>
    </w:p>
    <w:p w:rsidR="00CD7EAC" w:rsidRDefault="000622AA">
      <w:pPr>
        <w:jc w:val="center"/>
      </w:pPr>
      <w:r>
        <w:rPr>
          <w:noProof/>
          <w:lang w:val="es-MX" w:eastAsia="es-MX"/>
        </w:rPr>
        <w:drawing>
          <wp:inline distT="0" distB="0" distL="0" distR="0">
            <wp:extent cx="4572000" cy="638116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6_Mapa_Integrado_2026_EneroMayo.png"/>
                    <pic:cNvPicPr/>
                  </pic:nvPicPr>
                  <pic:blipFill>
                    <a:blip r:embed="rId11"/>
                    <a:stretch>
                      <a:fillRect/>
                    </a:stretch>
                  </pic:blipFill>
                  <pic:spPr>
                    <a:xfrm>
                      <a:off x="0" y="0"/>
                      <a:ext cx="4572000" cy="6381166"/>
                    </a:xfrm>
                    <a:prstGeom prst="rect">
                      <a:avLst/>
                    </a:prstGeom>
                  </pic:spPr>
                </pic:pic>
              </a:graphicData>
            </a:graphic>
          </wp:inline>
        </w:drawing>
      </w:r>
    </w:p>
    <w:p w:rsidR="00CD7EAC" w:rsidRDefault="000622AA">
      <w:r>
        <w:rPr>
          <w:i/>
          <w:sz w:val="18"/>
        </w:rPr>
        <w:lastRenderedPageBreak/>
        <w:t>Figura</w:t>
      </w:r>
      <w:r>
        <w:rPr>
          <w:i/>
          <w:sz w:val="18"/>
        </w:rPr>
        <w:t xml:space="preserve"> 6. KDE 2026 con zonas focalizadas de rumba, áreas de influencia (0-250m, 250-300m, 300-500m) y notificaciones individuales. Año de vigencia de las zonas focalizadas.</w:t>
      </w:r>
    </w:p>
    <w:p w:rsidR="00CD7EAC" w:rsidRDefault="00CD7EAC"/>
    <w:p w:rsidR="00CD7EAC" w:rsidRDefault="000622AA">
      <w:r>
        <w:t>El mapa permite identificar visualmente las zonas con mayor concentración de notificacio</w:t>
      </w:r>
      <w:r>
        <w:t xml:space="preserve">nes en 2026. Los núcleos de densidad más altos se localizan principalmente en: Teusaquillo/Galerías (centro), Chapinero/Marly (centro-norte), Engativá/Normandía (noroccidente) y Kennedy/1 de Mayo (occidente). En 2026 la zona de Galerías concentra el mayor </w:t>
      </w:r>
      <w:r>
        <w:t>número de notificaciones dentro de zona, seguida de Chapinero.</w:t>
      </w:r>
    </w:p>
    <w:p w:rsidR="00CD7EAC" w:rsidRDefault="000622AA">
      <w:pPr>
        <w:pStyle w:val="Ttulo1"/>
      </w:pPr>
      <w:r>
        <w:t>10. Detalle de Notificaciones por Zona — 2026</w:t>
      </w:r>
    </w:p>
    <w:p w:rsidR="00CD7EAC" w:rsidRDefault="00CD7EAC"/>
    <w:p w:rsidR="00CD7EAC" w:rsidRDefault="000622AA">
      <w:r>
        <w:t xml:space="preserve">La siguiente tabla presenta el detalle de las 11 notificaciones registradas directamente dentro de alguna zona de rumba durante enero–mayo de </w:t>
      </w:r>
      <w:r>
        <w:t>2026, incluyendo la zona, localidad, tipo de horario y porcentaje del total.</w:t>
      </w:r>
    </w:p>
    <w:tbl>
      <w:tblPr>
        <w:tblW w:w="0" w:type="auto"/>
        <w:jc w:val="center"/>
        <w:tblLook w:val="04A0" w:firstRow="1" w:lastRow="0" w:firstColumn="1" w:lastColumn="0" w:noHBand="0" w:noVBand="1"/>
      </w:tblPr>
      <w:tblGrid>
        <w:gridCol w:w="1881"/>
        <w:gridCol w:w="1881"/>
        <w:gridCol w:w="1881"/>
        <w:gridCol w:w="1881"/>
        <w:gridCol w:w="1881"/>
      </w:tblGrid>
      <w:tr w:rsidR="00CD7EAC">
        <w:trPr>
          <w:jc w:val="center"/>
        </w:trPr>
        <w:tc>
          <w:tcPr>
            <w:tcW w:w="1881"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Zona de rumba</w:t>
            </w:r>
          </w:p>
        </w:tc>
        <w:tc>
          <w:tcPr>
            <w:tcW w:w="1881"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Localidad</w:t>
            </w:r>
          </w:p>
        </w:tc>
        <w:tc>
          <w:tcPr>
            <w:tcW w:w="1881"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Horario extendido</w:t>
            </w:r>
          </w:p>
        </w:tc>
        <w:tc>
          <w:tcPr>
            <w:tcW w:w="1881"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Notif. en zona</w:t>
            </w:r>
          </w:p>
        </w:tc>
        <w:tc>
          <w:tcPr>
            <w:tcW w:w="1881"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 del total</w:t>
            </w:r>
          </w:p>
        </w:tc>
      </w:tr>
      <w:tr w:rsidR="00CD7EAC">
        <w:trPr>
          <w:jc w:val="center"/>
        </w:trPr>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GALERIAS</w:t>
            </w:r>
          </w:p>
        </w:tc>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TEUSAQUILLO</w:t>
            </w:r>
          </w:p>
        </w:tc>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b/>
                <w:color w:val="E74C3C"/>
                <w:sz w:val="20"/>
              </w:rPr>
              <w:t>NO</w:t>
            </w:r>
          </w:p>
        </w:tc>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4</w:t>
            </w:r>
          </w:p>
        </w:tc>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36,4%</w:t>
            </w:r>
          </w:p>
        </w:tc>
      </w:tr>
      <w:tr w:rsidR="00CD7EAC">
        <w:trPr>
          <w:jc w:val="center"/>
        </w:trPr>
        <w:tc>
          <w:tcPr>
            <w:tcW w:w="188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CHAPINERO</w:t>
            </w:r>
          </w:p>
        </w:tc>
        <w:tc>
          <w:tcPr>
            <w:tcW w:w="188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CHAPINERO</w:t>
            </w:r>
          </w:p>
        </w:tc>
        <w:tc>
          <w:tcPr>
            <w:tcW w:w="188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b/>
                <w:color w:val="27AE60"/>
                <w:sz w:val="20"/>
              </w:rPr>
              <w:t>SI</w:t>
            </w:r>
          </w:p>
        </w:tc>
        <w:tc>
          <w:tcPr>
            <w:tcW w:w="188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2</w:t>
            </w:r>
          </w:p>
        </w:tc>
        <w:tc>
          <w:tcPr>
            <w:tcW w:w="188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18,2%</w:t>
            </w:r>
          </w:p>
        </w:tc>
      </w:tr>
      <w:tr w:rsidR="00CD7EAC">
        <w:trPr>
          <w:jc w:val="center"/>
        </w:trPr>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1 DE MAYO</w:t>
            </w:r>
          </w:p>
        </w:tc>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KENNEDY</w:t>
            </w:r>
          </w:p>
        </w:tc>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b/>
                <w:color w:val="E74C3C"/>
                <w:sz w:val="20"/>
              </w:rPr>
              <w:t>NO</w:t>
            </w:r>
          </w:p>
        </w:tc>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1</w:t>
            </w:r>
          </w:p>
        </w:tc>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9,1%</w:t>
            </w:r>
          </w:p>
        </w:tc>
      </w:tr>
      <w:tr w:rsidR="00CD7EAC">
        <w:trPr>
          <w:jc w:val="center"/>
        </w:trPr>
        <w:tc>
          <w:tcPr>
            <w:tcW w:w="188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MARICHUELA</w:t>
            </w:r>
          </w:p>
        </w:tc>
        <w:tc>
          <w:tcPr>
            <w:tcW w:w="188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USME</w:t>
            </w:r>
          </w:p>
        </w:tc>
        <w:tc>
          <w:tcPr>
            <w:tcW w:w="188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b/>
                <w:color w:val="E74C3C"/>
                <w:sz w:val="20"/>
              </w:rPr>
              <w:t>NO</w:t>
            </w:r>
          </w:p>
        </w:tc>
        <w:tc>
          <w:tcPr>
            <w:tcW w:w="188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1</w:t>
            </w:r>
          </w:p>
        </w:tc>
        <w:tc>
          <w:tcPr>
            <w:tcW w:w="188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9,1%</w:t>
            </w:r>
          </w:p>
        </w:tc>
      </w:tr>
      <w:tr w:rsidR="00CD7EAC">
        <w:trPr>
          <w:jc w:val="center"/>
        </w:trPr>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NORMANDIA</w:t>
            </w:r>
          </w:p>
        </w:tc>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ENGATIVA</w:t>
            </w:r>
          </w:p>
        </w:tc>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b/>
                <w:color w:val="E74C3C"/>
                <w:sz w:val="20"/>
              </w:rPr>
              <w:t>NO</w:t>
            </w:r>
          </w:p>
        </w:tc>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1</w:t>
            </w:r>
          </w:p>
        </w:tc>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9,1%</w:t>
            </w:r>
          </w:p>
        </w:tc>
      </w:tr>
      <w:tr w:rsidR="00CD7EAC">
        <w:trPr>
          <w:jc w:val="center"/>
        </w:trPr>
        <w:tc>
          <w:tcPr>
            <w:tcW w:w="188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BOSA CENTRO</w:t>
            </w:r>
          </w:p>
        </w:tc>
        <w:tc>
          <w:tcPr>
            <w:tcW w:w="188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BOSA</w:t>
            </w:r>
          </w:p>
        </w:tc>
        <w:tc>
          <w:tcPr>
            <w:tcW w:w="188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b/>
                <w:color w:val="27AE60"/>
                <w:sz w:val="20"/>
              </w:rPr>
              <w:t>SI</w:t>
            </w:r>
          </w:p>
        </w:tc>
        <w:tc>
          <w:tcPr>
            <w:tcW w:w="188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1</w:t>
            </w:r>
          </w:p>
        </w:tc>
        <w:tc>
          <w:tcPr>
            <w:tcW w:w="1881"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pPr>
              <w:jc w:val="center"/>
            </w:pPr>
            <w:r>
              <w:rPr>
                <w:sz w:val="20"/>
              </w:rPr>
              <w:t>9,1%</w:t>
            </w:r>
          </w:p>
        </w:tc>
      </w:tr>
      <w:tr w:rsidR="00CD7EAC">
        <w:trPr>
          <w:jc w:val="center"/>
        </w:trPr>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MARLY</w:t>
            </w:r>
          </w:p>
        </w:tc>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CHAPINERO</w:t>
            </w:r>
          </w:p>
        </w:tc>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b/>
                <w:color w:val="27AE60"/>
                <w:sz w:val="20"/>
              </w:rPr>
              <w:t>SI</w:t>
            </w:r>
          </w:p>
        </w:tc>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1</w:t>
            </w:r>
          </w:p>
        </w:tc>
        <w:tc>
          <w:tcPr>
            <w:tcW w:w="1881"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pPr>
              <w:jc w:val="center"/>
            </w:pPr>
            <w:r>
              <w:rPr>
                <w:sz w:val="20"/>
              </w:rPr>
              <w:t>9,1%</w:t>
            </w:r>
          </w:p>
        </w:tc>
      </w:tr>
      <w:tr w:rsidR="00CD7EAC">
        <w:trPr>
          <w:jc w:val="center"/>
        </w:trPr>
        <w:tc>
          <w:tcPr>
            <w:tcW w:w="1881" w:type="dxa"/>
            <w:tcBorders>
              <w:top w:val="single" w:sz="4" w:space="0" w:color="CCCCCC"/>
              <w:left w:val="single" w:sz="4" w:space="0" w:color="CCCCCC"/>
              <w:bottom w:val="single" w:sz="4" w:space="0" w:color="CCCCCC"/>
              <w:right w:val="single" w:sz="4" w:space="0" w:color="CCCCCC"/>
            </w:tcBorders>
            <w:shd w:val="clear" w:color="auto" w:fill="D5E8F0"/>
          </w:tcPr>
          <w:p w:rsidR="00CD7EAC" w:rsidRDefault="000622AA">
            <w:pPr>
              <w:jc w:val="center"/>
            </w:pPr>
            <w:r>
              <w:rPr>
                <w:b/>
                <w:sz w:val="20"/>
              </w:rPr>
              <w:t>TOTAL</w:t>
            </w:r>
          </w:p>
        </w:tc>
        <w:tc>
          <w:tcPr>
            <w:tcW w:w="1881" w:type="dxa"/>
            <w:tcBorders>
              <w:top w:val="single" w:sz="4" w:space="0" w:color="CCCCCC"/>
              <w:left w:val="single" w:sz="4" w:space="0" w:color="CCCCCC"/>
              <w:bottom w:val="single" w:sz="4" w:space="0" w:color="CCCCCC"/>
              <w:right w:val="single" w:sz="4" w:space="0" w:color="CCCCCC"/>
            </w:tcBorders>
            <w:shd w:val="clear" w:color="auto" w:fill="D5E8F0"/>
          </w:tcPr>
          <w:p w:rsidR="00CD7EAC" w:rsidRDefault="000622AA">
            <w:pPr>
              <w:jc w:val="center"/>
            </w:pPr>
            <w:r>
              <w:rPr>
                <w:b/>
                <w:sz w:val="20"/>
              </w:rPr>
              <w:t>—</w:t>
            </w:r>
          </w:p>
        </w:tc>
        <w:tc>
          <w:tcPr>
            <w:tcW w:w="1881" w:type="dxa"/>
            <w:tcBorders>
              <w:top w:val="single" w:sz="4" w:space="0" w:color="CCCCCC"/>
              <w:left w:val="single" w:sz="4" w:space="0" w:color="CCCCCC"/>
              <w:bottom w:val="single" w:sz="4" w:space="0" w:color="CCCCCC"/>
              <w:right w:val="single" w:sz="4" w:space="0" w:color="CCCCCC"/>
            </w:tcBorders>
            <w:shd w:val="clear" w:color="auto" w:fill="D5E8F0"/>
          </w:tcPr>
          <w:p w:rsidR="00CD7EAC" w:rsidRDefault="000622AA">
            <w:pPr>
              <w:jc w:val="center"/>
            </w:pPr>
            <w:r>
              <w:rPr>
                <w:b/>
                <w:sz w:val="20"/>
              </w:rPr>
              <w:t>—</w:t>
            </w:r>
          </w:p>
        </w:tc>
        <w:tc>
          <w:tcPr>
            <w:tcW w:w="1881" w:type="dxa"/>
            <w:tcBorders>
              <w:top w:val="single" w:sz="4" w:space="0" w:color="CCCCCC"/>
              <w:left w:val="single" w:sz="4" w:space="0" w:color="CCCCCC"/>
              <w:bottom w:val="single" w:sz="4" w:space="0" w:color="CCCCCC"/>
              <w:right w:val="single" w:sz="4" w:space="0" w:color="CCCCCC"/>
            </w:tcBorders>
            <w:shd w:val="clear" w:color="auto" w:fill="D5E8F0"/>
          </w:tcPr>
          <w:p w:rsidR="00CD7EAC" w:rsidRDefault="000622AA">
            <w:pPr>
              <w:jc w:val="center"/>
            </w:pPr>
            <w:r>
              <w:rPr>
                <w:b/>
                <w:sz w:val="20"/>
              </w:rPr>
              <w:t>11</w:t>
            </w:r>
          </w:p>
        </w:tc>
        <w:tc>
          <w:tcPr>
            <w:tcW w:w="1881" w:type="dxa"/>
            <w:tcBorders>
              <w:top w:val="single" w:sz="4" w:space="0" w:color="CCCCCC"/>
              <w:left w:val="single" w:sz="4" w:space="0" w:color="CCCCCC"/>
              <w:bottom w:val="single" w:sz="4" w:space="0" w:color="CCCCCC"/>
              <w:right w:val="single" w:sz="4" w:space="0" w:color="CCCCCC"/>
            </w:tcBorders>
            <w:shd w:val="clear" w:color="auto" w:fill="D5E8F0"/>
          </w:tcPr>
          <w:p w:rsidR="00CD7EAC" w:rsidRDefault="000622AA">
            <w:pPr>
              <w:jc w:val="center"/>
            </w:pPr>
            <w:r>
              <w:rPr>
                <w:b/>
                <w:sz w:val="20"/>
              </w:rPr>
              <w:t>100%</w:t>
            </w:r>
          </w:p>
        </w:tc>
      </w:tr>
    </w:tbl>
    <w:p w:rsidR="00CD7EAC" w:rsidRDefault="000622AA">
      <w:r>
        <w:rPr>
          <w:i/>
          <w:sz w:val="18"/>
        </w:rPr>
        <w:t>Tabla 9. Detalle de notificaciones dentro de zonas de rumba, Enero–Mayo 2026. Verde = horario extendido; Rojo = horario estándar.</w:t>
      </w:r>
    </w:p>
    <w:p w:rsidR="00CD7EAC" w:rsidRDefault="00CD7EAC"/>
    <w:p w:rsidR="00CD7EAC" w:rsidRDefault="000622AA">
      <w:r>
        <w:t xml:space="preserve">La zona </w:t>
      </w:r>
      <w:r>
        <w:t xml:space="preserve">de Galerías (Teusaquillo) concentra el 36,4% de las notificaciones dentro de zona en 2026, a pesar de no contar con horario extendido. Chapinero, con horario extendido, registra el 18,2%. En conjunto, las zonas del área centro (Galerías, Chapinero, Marly) </w:t>
      </w:r>
      <w:r>
        <w:t>acumulan 7 de las 11 notificaciones dentro de zona en 2026 (63,6%).</w:t>
      </w:r>
    </w:p>
    <w:p w:rsidR="00CD7EAC" w:rsidRDefault="000622AA">
      <w:pPr>
        <w:pStyle w:val="Ttulo1"/>
      </w:pPr>
      <w:r>
        <w:lastRenderedPageBreak/>
        <w:t>11. Conclusiones y Recomendaciones</w:t>
      </w:r>
    </w:p>
    <w:p w:rsidR="00CD7EAC" w:rsidRDefault="00CD7EAC"/>
    <w:p w:rsidR="00CD7EAC" w:rsidRDefault="000622AA">
      <w:pPr>
        <w:pStyle w:val="Ttulo2"/>
      </w:pPr>
      <w:r>
        <w:t>11.1 Conclusiones</w:t>
      </w:r>
    </w:p>
    <w:p w:rsidR="00CD7EAC" w:rsidRDefault="00CD7EAC"/>
    <w:p w:rsidR="00CD7EAC" w:rsidRDefault="000622AA">
      <w:r>
        <w:rPr>
          <w:b/>
        </w:rPr>
        <w:t xml:space="preserve">Aumento sostenido de notificaciones en el área de influencia: </w:t>
      </w:r>
      <w:r>
        <w:t xml:space="preserve">Las notificaciones de ruido por rumba dentro del área de 500 m de las </w:t>
      </w:r>
      <w:r>
        <w:t>zonas focalizadas crecieron de manera constante entre 2022 y 2026, pasando de 3 a 37 registros (x12,3). El año 2026, de vigencia de las zonas, registra el máximo histórico en todos los indicadores analizados.</w:t>
      </w:r>
    </w:p>
    <w:p w:rsidR="00CD7EAC" w:rsidRDefault="000622AA">
      <w:r>
        <w:rPr>
          <w:b/>
        </w:rPr>
        <w:t>Concentración espacial creciente confirmada por</w:t>
      </w:r>
      <w:r>
        <w:rPr>
          <w:b/>
        </w:rPr>
        <w:t xml:space="preserve"> KDE: </w:t>
      </w:r>
      <w:r>
        <w:t>Las superficies KDE muestran que la densidad de notificaciones no solo aumenta en volumen, sino que se concentra espacialmente: en 2026 la densidad máxima (4,57) es 4,6 veces mayor que en 2022 (0,99), indicando la formación de núcleos de ruido bien d</w:t>
      </w:r>
      <w:r>
        <w:t>efinidos.</w:t>
      </w:r>
    </w:p>
    <w:p w:rsidR="00CD7EAC" w:rsidRDefault="000622AA">
      <w:r>
        <w:rPr>
          <w:b/>
        </w:rPr>
        <w:t xml:space="preserve">Zonas de rumba del centro de Bogotá como focos principales: </w:t>
      </w:r>
      <w:r>
        <w:t>Las zonas de Galerías, Chapinero y Marly concentran el 63,6% de las notificaciones dentro de zona en 2026. La zona de Galerías, sin horario extendido, lidera las notificaciones directame</w:t>
      </w:r>
      <w:r>
        <w:t>nte dentro de zona.</w:t>
      </w:r>
    </w:p>
    <w:p w:rsidR="00CD7EAC" w:rsidRDefault="000622AA">
      <w:r>
        <w:rPr>
          <w:b/>
        </w:rPr>
        <w:t xml:space="preserve">Densidad nueva en 2026 respecto a todos los años de referencia: </w:t>
      </w:r>
      <w:r>
        <w:t>El análisis de áreas nuevas confirma que entre 5,9 y 11,9 km² del área común con datos válidos presentan densidad de notificaciones en 2026 que no tiene precedente en ningú</w:t>
      </w:r>
      <w:r>
        <w:t>n año base analizado, lo que puede estar relacionado con el inicio de la regulación formal de estas zonas.</w:t>
      </w:r>
    </w:p>
    <w:p w:rsidR="00CD7EAC" w:rsidRDefault="000622AA">
      <w:r>
        <w:rPr>
          <w:b/>
        </w:rPr>
        <w:t xml:space="preserve">Horario extendido no determina exclusivamente el comportamiento: </w:t>
      </w:r>
      <w:r>
        <w:t xml:space="preserve">Las zonas sin horario extendido generaron más notificaciones dentro de zona en 2026 </w:t>
      </w:r>
      <w:r>
        <w:t>(7) que las zonas con horario extendido (4), sugiriendo que factores distintos al horario (concentración de establecimientos, flujo peatonal, etc.) también inciden significativamente.</w:t>
      </w:r>
    </w:p>
    <w:p w:rsidR="00CD7EAC" w:rsidRDefault="000622AA">
      <w:pPr>
        <w:pStyle w:val="Ttulo2"/>
      </w:pPr>
      <w:r>
        <w:t>11.2 Recomendaciones</w:t>
      </w:r>
    </w:p>
    <w:p w:rsidR="00CD7EAC" w:rsidRDefault="00CD7EAC"/>
    <w:p w:rsidR="00CD7EAC" w:rsidRDefault="000622AA">
      <w:pPr>
        <w:pStyle w:val="Listaconvietas"/>
      </w:pPr>
      <w:r>
        <w:t>Implementar un sistema de monitoreo continuo de no</w:t>
      </w:r>
      <w:r>
        <w:t>tificaciones en las 27 zonas focalizadas, con cortes mensuales o trimestrales para detectar tendencias en tiempo real.</w:t>
      </w:r>
    </w:p>
    <w:p w:rsidR="00CD7EAC" w:rsidRDefault="000622AA">
      <w:pPr>
        <w:pStyle w:val="Listaconvietas"/>
      </w:pPr>
      <w:r>
        <w:t xml:space="preserve">Priorizar acciones de control sanitario y de ruido en las zonas de Galerías, Chapinero y Marly, identificadas como los principales focos </w:t>
      </w:r>
      <w:r>
        <w:t>en 2026.</w:t>
      </w:r>
    </w:p>
    <w:p w:rsidR="00CD7EAC" w:rsidRDefault="000622AA">
      <w:pPr>
        <w:pStyle w:val="Listaconvietas"/>
      </w:pPr>
      <w:r>
        <w:t>Analizar la relación entre el horario de funcionamiento y el momento de ocurrencia de las notificaciones (día/noche) para afinar la regulación horaria.</w:t>
      </w:r>
    </w:p>
    <w:p w:rsidR="00CD7EAC" w:rsidRDefault="000622AA">
      <w:pPr>
        <w:pStyle w:val="Listaconvietas"/>
      </w:pPr>
      <w:r>
        <w:t>Extender el período de análisis al año completo (enero–diciembre 2026) para evaluar si el patró</w:t>
      </w:r>
      <w:r>
        <w:t>n identificado en enero–mayo se mantiene o varía en otras épocas del año.</w:t>
      </w:r>
    </w:p>
    <w:p w:rsidR="00CD7EAC" w:rsidRDefault="000622AA">
      <w:pPr>
        <w:pStyle w:val="Listaconvietas"/>
      </w:pPr>
      <w:r>
        <w:t>Cruzar la información de notificaciones con datos de establecimientos activos en cada zona para calcular tasas de notificación por establecimiento.</w:t>
      </w:r>
    </w:p>
    <w:p w:rsidR="00CD7EAC" w:rsidRDefault="000622AA">
      <w:pPr>
        <w:pStyle w:val="Listaconvietas"/>
      </w:pPr>
      <w:r>
        <w:t xml:space="preserve">Replicar el análisis KDE </w:t>
      </w:r>
      <w:r>
        <w:t>diferencial para el período post-vacacional (julio–agosto) donde típicamente aumenta la actividad nocturna en zonas de rumba.</w:t>
      </w:r>
    </w:p>
    <w:p w:rsidR="00CD7EAC" w:rsidRDefault="000622AA">
      <w:pPr>
        <w:pStyle w:val="Ttulo1"/>
      </w:pPr>
      <w:r>
        <w:lastRenderedPageBreak/>
        <w:t>12. Referencias Técnicas y Especificaciones</w:t>
      </w:r>
    </w:p>
    <w:p w:rsidR="00CD7EAC" w:rsidRDefault="00CD7EAC"/>
    <w:tbl>
      <w:tblPr>
        <w:tblW w:w="0" w:type="auto"/>
        <w:jc w:val="center"/>
        <w:tblLook w:val="04A0" w:firstRow="1" w:lastRow="0" w:firstColumn="1" w:lastColumn="0" w:noHBand="0" w:noVBand="1"/>
      </w:tblPr>
      <w:tblGrid>
        <w:gridCol w:w="4703"/>
        <w:gridCol w:w="4703"/>
      </w:tblGrid>
      <w:tr w:rsidR="00CD7EAC">
        <w:trPr>
          <w:jc w:val="center"/>
        </w:trPr>
        <w:tc>
          <w:tcPr>
            <w:tcW w:w="4703"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Componente</w:t>
            </w:r>
          </w:p>
        </w:tc>
        <w:tc>
          <w:tcPr>
            <w:tcW w:w="4703" w:type="dxa"/>
            <w:tcBorders>
              <w:top w:val="single" w:sz="4" w:space="0" w:color="CCCCCC"/>
              <w:left w:val="single" w:sz="4" w:space="0" w:color="CCCCCC"/>
              <w:bottom w:val="single" w:sz="4" w:space="0" w:color="CCCCCC"/>
              <w:right w:val="single" w:sz="4" w:space="0" w:color="CCCCCC"/>
            </w:tcBorders>
            <w:shd w:val="clear" w:color="auto" w:fill="1F4E79"/>
          </w:tcPr>
          <w:p w:rsidR="00CD7EAC" w:rsidRDefault="000622AA">
            <w:pPr>
              <w:jc w:val="center"/>
            </w:pPr>
            <w:r>
              <w:rPr>
                <w:b/>
                <w:color w:val="FFFFFF"/>
                <w:sz w:val="20"/>
              </w:rPr>
              <w:t>Especificación</w:t>
            </w:r>
          </w:p>
        </w:tc>
      </w:tr>
      <w:tr w:rsidR="00CD7EAC">
        <w:trPr>
          <w:jc w:val="center"/>
        </w:trPr>
        <w:tc>
          <w:tcPr>
            <w:tcW w:w="4703"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r>
              <w:rPr>
                <w:b/>
                <w:sz w:val="20"/>
              </w:rPr>
              <w:t>Software</w:t>
            </w:r>
          </w:p>
        </w:tc>
        <w:tc>
          <w:tcPr>
            <w:tcW w:w="4703"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r>
              <w:rPr>
                <w:sz w:val="20"/>
              </w:rPr>
              <w:t xml:space="preserve">QGIS 3.40.14 │ Python 3.x │ python-docx 1.2 │ </w:t>
            </w:r>
            <w:r>
              <w:rPr>
                <w:sz w:val="20"/>
              </w:rPr>
              <w:t>NumPy │ GDAL/OGR │ Matplotlib</w:t>
            </w:r>
          </w:p>
        </w:tc>
      </w:tr>
      <w:tr w:rsidR="00CD7EAC">
        <w:trPr>
          <w:jc w:val="center"/>
        </w:trPr>
        <w:tc>
          <w:tcPr>
            <w:tcW w:w="4703"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r>
              <w:rPr>
                <w:b/>
                <w:sz w:val="20"/>
              </w:rPr>
              <w:t>Algoritmo KDE</w:t>
            </w:r>
          </w:p>
        </w:tc>
        <w:tc>
          <w:tcPr>
            <w:tcW w:w="4703"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r>
              <w:rPr>
                <w:sz w:val="20"/>
              </w:rPr>
              <w:t>qgis:heatmapkerneldensityestimation (QGIS Processing Framework)</w:t>
            </w:r>
          </w:p>
        </w:tc>
      </w:tr>
      <w:tr w:rsidR="00CD7EAC">
        <w:trPr>
          <w:jc w:val="center"/>
        </w:trPr>
        <w:tc>
          <w:tcPr>
            <w:tcW w:w="4703"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r>
              <w:rPr>
                <w:b/>
                <w:sz w:val="20"/>
              </w:rPr>
              <w:t>Sistema de referencia espacial</w:t>
            </w:r>
          </w:p>
        </w:tc>
        <w:tc>
          <w:tcPr>
            <w:tcW w:w="4703"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r>
              <w:rPr>
                <w:sz w:val="20"/>
              </w:rPr>
              <w:t>EPSG:4326 — WGS 84 (coordenadas geográficas)</w:t>
            </w:r>
          </w:p>
        </w:tc>
      </w:tr>
      <w:tr w:rsidR="00CD7EAC">
        <w:trPr>
          <w:jc w:val="center"/>
        </w:trPr>
        <w:tc>
          <w:tcPr>
            <w:tcW w:w="4703"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r>
              <w:rPr>
                <w:b/>
                <w:sz w:val="20"/>
              </w:rPr>
              <w:t>Fuentes de notificaciones</w:t>
            </w:r>
          </w:p>
        </w:tc>
        <w:tc>
          <w:tcPr>
            <w:tcW w:w="4703"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r>
              <w:rPr>
                <w:sz w:val="20"/>
              </w:rPr>
              <w:t>Registro interno SDS — Área de Demanda (Que</w:t>
            </w:r>
            <w:r>
              <w:rPr>
                <w:sz w:val="20"/>
              </w:rPr>
              <w:t>jas por Ruido: QRU / RDO)</w:t>
            </w:r>
          </w:p>
        </w:tc>
      </w:tr>
      <w:tr w:rsidR="00CD7EAC">
        <w:trPr>
          <w:jc w:val="center"/>
        </w:trPr>
        <w:tc>
          <w:tcPr>
            <w:tcW w:w="4703"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r>
              <w:rPr>
                <w:b/>
                <w:sz w:val="20"/>
              </w:rPr>
              <w:t>Capa de zonas</w:t>
            </w:r>
          </w:p>
        </w:tc>
        <w:tc>
          <w:tcPr>
            <w:tcW w:w="4703"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r>
              <w:rPr>
                <w:sz w:val="20"/>
              </w:rPr>
              <w:t>SHAPE_ZONA_RUMBA_DEFINITIVO.shp — 27 polígonos (Bogotá D.C., 2026)</w:t>
            </w:r>
          </w:p>
        </w:tc>
      </w:tr>
      <w:tr w:rsidR="00CD7EAC">
        <w:trPr>
          <w:jc w:val="center"/>
        </w:trPr>
        <w:tc>
          <w:tcPr>
            <w:tcW w:w="4703"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r>
              <w:rPr>
                <w:b/>
                <w:sz w:val="20"/>
              </w:rPr>
              <w:t>Buffers de influencia</w:t>
            </w:r>
          </w:p>
        </w:tc>
        <w:tc>
          <w:tcPr>
            <w:tcW w:w="4703"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r>
              <w:rPr>
                <w:sz w:val="20"/>
              </w:rPr>
              <w:t>Buffer_250m, Buffer_300m, Buffer_500m sobre SHAPE_ZONA_RUMBA_DEFINITIVO</w:t>
            </w:r>
          </w:p>
        </w:tc>
      </w:tr>
      <w:tr w:rsidR="00CD7EAC">
        <w:trPr>
          <w:jc w:val="center"/>
        </w:trPr>
        <w:tc>
          <w:tcPr>
            <w:tcW w:w="4703"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r>
              <w:rPr>
                <w:b/>
                <w:sz w:val="20"/>
              </w:rPr>
              <w:t>Archivos de salida</w:t>
            </w:r>
          </w:p>
        </w:tc>
        <w:tc>
          <w:tcPr>
            <w:tcW w:w="4703" w:type="dxa"/>
            <w:tcBorders>
              <w:top w:val="single" w:sz="4" w:space="0" w:color="CCCCCC"/>
              <w:left w:val="single" w:sz="4" w:space="0" w:color="CCCCCC"/>
              <w:bottom w:val="single" w:sz="4" w:space="0" w:color="CCCCCC"/>
              <w:right w:val="single" w:sz="4" w:space="0" w:color="CCCCCC"/>
            </w:tcBorders>
            <w:shd w:val="clear" w:color="auto" w:fill="EBF3FB"/>
          </w:tcPr>
          <w:p w:rsidR="00CD7EAC" w:rsidRDefault="000622AA">
            <w:r>
              <w:rPr>
                <w:sz w:val="20"/>
              </w:rPr>
              <w:t xml:space="preserve">13 rásteres KDE (.tif) + 5 </w:t>
            </w:r>
            <w:r>
              <w:rPr>
                <w:sz w:val="20"/>
              </w:rPr>
              <w:t>gráficos/mapas (.png) + este informe (.docx)</w:t>
            </w:r>
          </w:p>
        </w:tc>
      </w:tr>
      <w:tr w:rsidR="00CD7EAC">
        <w:trPr>
          <w:jc w:val="center"/>
        </w:trPr>
        <w:tc>
          <w:tcPr>
            <w:tcW w:w="4703"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r>
              <w:rPr>
                <w:b/>
                <w:sz w:val="20"/>
              </w:rPr>
              <w:t>Ruta de proyecto QGIS</w:t>
            </w:r>
          </w:p>
        </w:tc>
        <w:tc>
          <w:tcPr>
            <w:tcW w:w="4703" w:type="dxa"/>
            <w:tcBorders>
              <w:top w:val="single" w:sz="4" w:space="0" w:color="CCCCCC"/>
              <w:left w:val="single" w:sz="4" w:space="0" w:color="CCCCCC"/>
              <w:bottom w:val="single" w:sz="4" w:space="0" w:color="CCCCCC"/>
              <w:right w:val="single" w:sz="4" w:space="0" w:color="CCCCCC"/>
            </w:tcBorders>
            <w:shd w:val="clear" w:color="auto" w:fill="FFFFFF"/>
          </w:tcPr>
          <w:p w:rsidR="00CD7EAC" w:rsidRDefault="000622AA">
            <w:r>
              <w:rPr>
                <w:sz w:val="20"/>
              </w:rPr>
              <w:t>C:/CAANFEO91/SDS/DEMANDA/JUNIO 2026/Rumba/Quejas Ruido Mayo 2026/RESULTADOS_EneroMayo/</w:t>
            </w:r>
          </w:p>
        </w:tc>
      </w:tr>
    </w:tbl>
    <w:p w:rsidR="000622AA" w:rsidRDefault="000622AA"/>
    <w:sectPr w:rsidR="000622AA" w:rsidSect="00034616">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0622AA"/>
    <w:rsid w:val="0015074B"/>
    <w:rsid w:val="0029639D"/>
    <w:rsid w:val="00326F90"/>
    <w:rsid w:val="00AA1D8D"/>
    <w:rsid w:val="00AB5D5D"/>
    <w:rsid w:val="00B47730"/>
    <w:rsid w:val="00CB0664"/>
    <w:rsid w:val="00CD7EAC"/>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7A8EE641-8767-4DE3-B3D3-E8EFA8BD7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rPr>
      <w:rFonts w:ascii="Arial" w:hAnsi="Arial"/>
    </w:rPr>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1F4E79"/>
      <w:sz w:val="30"/>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2E75B6"/>
      <w:sz w:val="24"/>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Puesto">
    <w:name w:val="Title"/>
    <w:basedOn w:val="Normal"/>
    <w:next w:val="Normal"/>
    <w:link w:val="Puest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de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85BB2-26E6-4E48-BFE6-9F3B9AD30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4516</Words>
  <Characters>24840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29298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Cuenta Microsoft</cp:lastModifiedBy>
  <cp:revision>2</cp:revision>
  <dcterms:created xsi:type="dcterms:W3CDTF">2013-12-23T23:15:00Z</dcterms:created>
  <dcterms:modified xsi:type="dcterms:W3CDTF">2026-06-26T10:24:00Z</dcterms:modified>
  <cp:category/>
</cp:coreProperties>
</file>